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eastAsia="华文中宋"/>
          <w:b/>
          <w:kern w:val="0"/>
          <w:sz w:val="52"/>
          <w:szCs w:val="52"/>
        </w:rPr>
      </w:pPr>
    </w:p>
    <w:p>
      <w:pPr>
        <w:spacing w:line="540" w:lineRule="exact"/>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方正小标宋_GBK"/>
          <w:kern w:val="0"/>
          <w:sz w:val="48"/>
          <w:szCs w:val="48"/>
        </w:rPr>
      </w:pPr>
      <w:r>
        <w:rPr>
          <w:rFonts w:hint="eastAsia" w:eastAsia="方正小标宋_GBK"/>
          <w:kern w:val="0"/>
          <w:sz w:val="48"/>
          <w:szCs w:val="48"/>
        </w:rPr>
        <w:t>免费开放运行保障经费</w:t>
      </w:r>
      <w:r>
        <w:rPr>
          <w:rFonts w:eastAsia="方正小标宋_GBK"/>
          <w:kern w:val="0"/>
          <w:sz w:val="48"/>
          <w:szCs w:val="48"/>
        </w:rPr>
        <w:t>项目支出绩效</w:t>
      </w:r>
    </w:p>
    <w:p>
      <w:pPr>
        <w:spacing w:line="540" w:lineRule="exact"/>
        <w:jc w:val="center"/>
        <w:rPr>
          <w:rFonts w:eastAsia="方正小标宋_GBK"/>
          <w:kern w:val="0"/>
          <w:sz w:val="48"/>
          <w:szCs w:val="48"/>
        </w:rPr>
      </w:pPr>
      <w:r>
        <w:rPr>
          <w:rFonts w:eastAsia="方正小标宋_GBK"/>
          <w:kern w:val="0"/>
          <w:sz w:val="48"/>
          <w:szCs w:val="48"/>
        </w:rPr>
        <w:t>评价报告</w:t>
      </w:r>
    </w:p>
    <w:p>
      <w:pPr>
        <w:spacing w:line="540" w:lineRule="exact"/>
        <w:jc w:val="center"/>
        <w:rPr>
          <w:rFonts w:eastAsia="华文中宋"/>
          <w:b/>
          <w:kern w:val="0"/>
          <w:sz w:val="52"/>
          <w:szCs w:val="52"/>
        </w:rPr>
      </w:pPr>
    </w:p>
    <w:p>
      <w:pPr>
        <w:spacing w:line="540" w:lineRule="exact"/>
        <w:jc w:val="center"/>
        <w:rPr>
          <w:rFonts w:eastAsia="仿宋_GB2312"/>
          <w:kern w:val="0"/>
          <w:sz w:val="36"/>
          <w:szCs w:val="36"/>
        </w:rPr>
      </w:pPr>
      <w:r>
        <w:rPr>
          <w:rFonts w:eastAsia="仿宋_GB2312"/>
          <w:kern w:val="0"/>
          <w:sz w:val="36"/>
          <w:szCs w:val="36"/>
        </w:rPr>
        <w:t>（2024年度）</w:t>
      </w: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pStyle w:val="10"/>
        <w:rPr>
          <w:rFonts w:ascii="Times New Roman" w:hAnsi="Times New Roman"/>
        </w:rPr>
      </w:pPr>
    </w:p>
    <w:p>
      <w:pPr>
        <w:spacing w:line="540" w:lineRule="exact"/>
        <w:jc w:val="center"/>
        <w:rPr>
          <w:rFonts w:eastAsia="仿宋_GB2312"/>
          <w:kern w:val="0"/>
          <w:sz w:val="30"/>
          <w:szCs w:val="30"/>
        </w:rPr>
      </w:pPr>
    </w:p>
    <w:p>
      <w:pPr>
        <w:spacing w:line="540" w:lineRule="exact"/>
        <w:rPr>
          <w:rFonts w:eastAsia="仿宋_GB2312"/>
          <w:kern w:val="0"/>
          <w:sz w:val="30"/>
          <w:szCs w:val="30"/>
        </w:rPr>
      </w:pPr>
    </w:p>
    <w:p>
      <w:pPr>
        <w:spacing w:line="700" w:lineRule="exact"/>
        <w:ind w:firstLine="1440" w:firstLineChars="400"/>
        <w:jc w:val="left"/>
        <w:rPr>
          <w:rFonts w:eastAsia="仿宋_GB2312"/>
          <w:kern w:val="0"/>
          <w:sz w:val="36"/>
          <w:szCs w:val="36"/>
        </w:rPr>
      </w:pPr>
      <w:r>
        <w:rPr>
          <w:rFonts w:eastAsia="仿宋_GB2312"/>
          <w:kern w:val="0"/>
          <w:sz w:val="36"/>
          <w:szCs w:val="36"/>
        </w:rPr>
        <w:t>项目名称：</w:t>
      </w:r>
      <w:r>
        <w:rPr>
          <w:rFonts w:hint="eastAsia" w:eastAsia="仿宋_GB2312"/>
          <w:kern w:val="0"/>
          <w:sz w:val="36"/>
          <w:szCs w:val="36"/>
        </w:rPr>
        <w:t>免费开放运行保障经费</w:t>
      </w:r>
    </w:p>
    <w:p>
      <w:pPr>
        <w:spacing w:line="700" w:lineRule="exact"/>
        <w:ind w:firstLine="1440" w:firstLineChars="400"/>
        <w:jc w:val="left"/>
        <w:rPr>
          <w:rFonts w:eastAsia="仿宋_GB2312"/>
          <w:kern w:val="0"/>
          <w:sz w:val="36"/>
          <w:szCs w:val="36"/>
        </w:rPr>
      </w:pPr>
      <w:r>
        <w:rPr>
          <w:rFonts w:eastAsia="仿宋_GB2312"/>
          <w:kern w:val="0"/>
          <w:sz w:val="36"/>
          <w:szCs w:val="36"/>
        </w:rPr>
        <w:t>实施单位（公章）：新疆维吾尔自治区图书馆</w:t>
      </w:r>
    </w:p>
    <w:p>
      <w:pPr>
        <w:spacing w:line="700" w:lineRule="exact"/>
        <w:ind w:firstLine="1440" w:firstLineChars="400"/>
        <w:jc w:val="left"/>
        <w:rPr>
          <w:rFonts w:eastAsia="仿宋_GB2312"/>
          <w:kern w:val="0"/>
          <w:sz w:val="36"/>
          <w:szCs w:val="36"/>
        </w:rPr>
      </w:pPr>
      <w:r>
        <w:rPr>
          <w:rFonts w:eastAsia="仿宋_GB2312"/>
          <w:kern w:val="0"/>
          <w:sz w:val="36"/>
          <w:szCs w:val="36"/>
        </w:rPr>
        <w:t>主管部门（公章）：自治区文化和旅游厅</w:t>
      </w:r>
    </w:p>
    <w:p>
      <w:pPr>
        <w:spacing w:line="700" w:lineRule="exact"/>
        <w:ind w:firstLine="1440" w:firstLineChars="400"/>
        <w:jc w:val="left"/>
        <w:rPr>
          <w:rFonts w:eastAsia="仿宋_GB2312"/>
          <w:kern w:val="0"/>
          <w:sz w:val="36"/>
          <w:szCs w:val="36"/>
        </w:rPr>
      </w:pPr>
      <w:r>
        <w:rPr>
          <w:rFonts w:eastAsia="仿宋_GB2312"/>
          <w:kern w:val="0"/>
          <w:sz w:val="36"/>
          <w:szCs w:val="36"/>
        </w:rPr>
        <w:t>项目负责人（签章）：邢凤翔</w:t>
      </w:r>
    </w:p>
    <w:p>
      <w:pPr>
        <w:spacing w:line="700" w:lineRule="exact"/>
        <w:ind w:firstLine="1440" w:firstLineChars="400"/>
        <w:jc w:val="left"/>
        <w:rPr>
          <w:rFonts w:eastAsia="仿宋_GB2312"/>
          <w:kern w:val="0"/>
          <w:sz w:val="36"/>
          <w:szCs w:val="36"/>
        </w:rPr>
      </w:pPr>
      <w:r>
        <w:rPr>
          <w:rFonts w:eastAsia="仿宋_GB2312"/>
          <w:kern w:val="0"/>
          <w:sz w:val="36"/>
          <w:szCs w:val="36"/>
        </w:rPr>
        <w:t>填报时间：2025年2月24日</w:t>
      </w:r>
    </w:p>
    <w:p>
      <w:pPr>
        <w:spacing w:line="540" w:lineRule="exact"/>
        <w:jc w:val="center"/>
        <w:rPr>
          <w:rFonts w:eastAsia="仿宋_GB2312"/>
          <w:kern w:val="0"/>
          <w:sz w:val="30"/>
          <w:szCs w:val="30"/>
        </w:rPr>
      </w:pPr>
    </w:p>
    <w:p>
      <w:pPr>
        <w:spacing w:line="540" w:lineRule="exact"/>
        <w:rPr>
          <w:rStyle w:val="16"/>
          <w:rFonts w:eastAsia="黑体"/>
          <w:b w:val="0"/>
          <w:spacing w:val="-4"/>
          <w:sz w:val="32"/>
          <w:szCs w:val="32"/>
        </w:rPr>
      </w:pPr>
    </w:p>
    <w:p>
      <w:pPr>
        <w:spacing w:line="540" w:lineRule="exact"/>
        <w:ind w:firstLine="640"/>
        <w:rPr>
          <w:rStyle w:val="16"/>
          <w:rFonts w:eastAsia="黑体"/>
          <w:b w:val="0"/>
          <w:spacing w:val="-4"/>
          <w:sz w:val="32"/>
          <w:szCs w:val="32"/>
        </w:rPr>
      </w:pPr>
    </w:p>
    <w:p>
      <w:pPr>
        <w:spacing w:line="540" w:lineRule="exact"/>
        <w:rPr>
          <w:rStyle w:val="16"/>
          <w:rFonts w:eastAsia="黑体"/>
          <w:b w:val="0"/>
          <w:spacing w:val="-4"/>
          <w:sz w:val="32"/>
          <w:szCs w:val="32"/>
        </w:rPr>
      </w:pPr>
    </w:p>
    <w:p>
      <w:pPr>
        <w:spacing w:line="560" w:lineRule="exact"/>
        <w:ind w:firstLine="640" w:firstLineChars="200"/>
        <w:rPr>
          <w:rFonts w:eastAsia="黑体"/>
          <w:bCs/>
          <w:sz w:val="32"/>
          <w:szCs w:val="32"/>
        </w:rPr>
        <w:sectPr>
          <w:pgSz w:w="11906" w:h="16838"/>
          <w:pgMar w:top="1440" w:right="1558" w:bottom="1440" w:left="1800" w:header="851" w:footer="992" w:gutter="0"/>
          <w:cols w:space="425" w:num="1"/>
          <w:docGrid w:type="lines" w:linePitch="312" w:charSpace="0"/>
        </w:sectPr>
      </w:pPr>
    </w:p>
    <w:p>
      <w:pPr>
        <w:spacing w:line="560" w:lineRule="exact"/>
        <w:ind w:firstLine="640" w:firstLineChars="200"/>
        <w:rPr>
          <w:rFonts w:eastAsia="黑体"/>
          <w:bCs/>
          <w:sz w:val="32"/>
          <w:szCs w:val="32"/>
        </w:rPr>
      </w:pPr>
      <w:r>
        <w:rPr>
          <w:rFonts w:eastAsia="黑体"/>
          <w:bCs/>
          <w:sz w:val="32"/>
          <w:szCs w:val="32"/>
        </w:rPr>
        <w:t>一、基本情况</w:t>
      </w:r>
    </w:p>
    <w:p>
      <w:pPr>
        <w:spacing w:line="560" w:lineRule="exact"/>
        <w:ind w:firstLine="642" w:firstLineChars="200"/>
        <w:rPr>
          <w:rFonts w:eastAsia="楷体_GB2312"/>
          <w:b/>
          <w:bCs/>
          <w:sz w:val="32"/>
          <w:szCs w:val="32"/>
        </w:rPr>
      </w:pPr>
      <w:r>
        <w:rPr>
          <w:rFonts w:eastAsia="楷体_GB2312"/>
          <w:b/>
          <w:bCs/>
          <w:sz w:val="32"/>
          <w:szCs w:val="32"/>
        </w:rPr>
        <w:t>（一）项目概况</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1.项目背景</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（1）项目实施的政策背景</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新疆图书馆是面向社会公众免费开放提供公共服务的重要公共文化阵地，是面向亚欧大陆展现中国文化发展的窗口。图书馆免费开放运行保障经费项目属于经常性项目，立项依据是2011年根据《文化部 财政部关于推进全国美术馆 公共图书馆 文化馆（站）免费开放工作的意见》（文财务发[2011]5号）、《自治区财政厅〈关于印发新疆维吾尔自治区美术馆 公共图书馆 文化馆（站）免费开放专项资金管理暂行办法〉的通知（新财教〔20</w:t>
      </w:r>
      <w:r>
        <w:rPr>
          <w:rFonts w:ascii="仿宋_GB2312" w:hAnsi="仿宋_GB2312" w:eastAsia="仿宋_GB2312" w:cs="仿宋_GB2312"/>
          <w:sz w:val="32"/>
          <w:szCs w:val="32"/>
        </w:rPr>
        <w:t>13</w:t>
      </w:r>
      <w:r>
        <w:rPr>
          <w:rFonts w:hint="eastAsia" w:ascii="仿宋_GB2312" w:hAnsi="仿宋_GB2312" w:eastAsia="仿宋_GB2312" w:cs="仿宋_GB2312"/>
          <w:sz w:val="32"/>
          <w:szCs w:val="32"/>
        </w:rPr>
        <w:t>〕1</w:t>
      </w:r>
      <w:r>
        <w:rPr>
          <w:rFonts w:ascii="仿宋_GB2312" w:hAnsi="仿宋_GB2312" w:eastAsia="仿宋_GB2312" w:cs="仿宋_GB2312"/>
          <w:sz w:val="32"/>
          <w:szCs w:val="32"/>
        </w:rPr>
        <w:t>34</w:t>
      </w:r>
      <w:r>
        <w:rPr>
          <w:rFonts w:hint="eastAsia" w:ascii="仿宋_GB2312" w:hAnsi="仿宋_GB2312" w:eastAsia="仿宋_GB2312" w:cs="仿宋_GB2312"/>
          <w:sz w:val="32"/>
          <w:szCs w:val="32"/>
        </w:rPr>
        <w:t>号）》、《公共图书馆法》和《第七次全国县级以上公共图书馆评价标准细则》。</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（2）项目实施的历史概况</w:t>
      </w:r>
    </w:p>
    <w:p>
      <w:pPr>
        <w:spacing w:line="560" w:lineRule="exact"/>
        <w:ind w:firstLine="640" w:firstLineChars="200"/>
        <w:rPr>
          <w:rFonts w:hAnsi="仿宋_GB2312" w:cs="仿宋_GB2312"/>
        </w:rPr>
      </w:pPr>
      <w:r>
        <w:rPr>
          <w:rFonts w:hint="eastAsia" w:ascii="仿宋_GB2312" w:hAnsi="仿宋_GB2312" w:eastAsia="仿宋_GB2312" w:cs="仿宋_GB2312"/>
          <w:sz w:val="32"/>
          <w:szCs w:val="32"/>
        </w:rPr>
        <w:t>自2011年公共图书馆免费开放运行保障经费实施以来，图书馆免费开放运行保障经费每年财政拨款600万元；2014年因图书馆二期改扩建工程实施，图书馆免费开放运行经费由600万元减至300万元；2019</w:t>
      </w:r>
      <w:r>
        <w:rPr>
          <w:rFonts w:ascii="仿宋_GB2312" w:hAnsi="仿宋_GB2312" w:eastAsia="仿宋_GB2312" w:cs="仿宋_GB2312"/>
          <w:sz w:val="32"/>
          <w:szCs w:val="32"/>
        </w:rPr>
        <w:t>-2024</w:t>
      </w:r>
      <w:r>
        <w:rPr>
          <w:rFonts w:hint="eastAsia" w:ascii="仿宋_GB2312" w:hAnsi="仿宋_GB2312" w:eastAsia="仿宋_GB2312" w:cs="仿宋_GB2312"/>
          <w:sz w:val="32"/>
          <w:szCs w:val="32"/>
        </w:rPr>
        <w:t>年，财政将免费开放运行保障经费及图书购置经费整合成一个项目，统一为图书馆免费开放运行经费，预算资金均为620万元。</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2.项目主要内容及实施情况</w:t>
      </w:r>
    </w:p>
    <w:p>
      <w:pPr>
        <w:spacing w:line="560" w:lineRule="exact"/>
        <w:ind w:firstLine="640" w:firstLineChars="200"/>
      </w:pPr>
      <w:r>
        <w:rPr>
          <w:rFonts w:hint="eastAsia" w:ascii="仿宋_GB2312" w:hAnsi="仿宋_GB2312" w:eastAsia="仿宋_GB2312" w:cs="仿宋_GB2312"/>
          <w:sz w:val="32"/>
          <w:szCs w:val="32"/>
        </w:rPr>
        <w:t>项目主要内容：202</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年图书馆免费开放运行经费主要用于5.6万平方米场馆正常运转</w:t>
      </w:r>
      <w:r>
        <w:rPr>
          <w:rFonts w:hint="eastAsia" w:ascii="仿宋_GB2312" w:eastAsia="仿宋_GB2312"/>
          <w:sz w:val="32"/>
          <w:szCs w:val="32"/>
        </w:rPr>
        <w:t>运行，为读者提供借阅、查询服务，组织开展全民阅读推广系列活动</w:t>
      </w:r>
      <w:r>
        <w:rPr>
          <w:rFonts w:ascii="仿宋_GB2312" w:eastAsia="仿宋_GB2312"/>
          <w:sz w:val="32"/>
          <w:szCs w:val="32"/>
        </w:rPr>
        <w:t>15</w:t>
      </w:r>
      <w:r>
        <w:rPr>
          <w:rFonts w:hint="eastAsia" w:ascii="仿宋_GB2312" w:eastAsia="仿宋_GB2312"/>
          <w:sz w:val="32"/>
          <w:szCs w:val="32"/>
        </w:rPr>
        <w:t>场次以上，购置图书、报纸、期刊等各类型文献资源，保障公众知识获取与使用公共空间的权利等项目内容，项目实施将惠及到馆读者及线上读者，覆盖范围辐射全疆各族人民。</w:t>
      </w:r>
    </w:p>
    <w:p>
      <w:pPr>
        <w:spacing w:line="560" w:lineRule="exact"/>
        <w:ind w:firstLine="640" w:firstLineChars="200"/>
        <w:rPr>
          <w:rFonts w:ascii="仿宋_GB2312" w:hAnsi="仿宋_GB2312" w:eastAsia="仿宋_GB2312" w:cs="仿宋_GB2312"/>
          <w:sz w:val="32"/>
          <w:szCs w:val="32"/>
        </w:rPr>
      </w:pPr>
      <w:r>
        <w:rPr>
          <w:rFonts w:eastAsia="仿宋_GB2312"/>
          <w:sz w:val="32"/>
          <w:szCs w:val="32"/>
        </w:rPr>
        <w:t>项目实施情况：项目在实施过程中严格按照目标设立的各阶段任务进行开展工作，在前期立项过程中严格把质量关，建立安全防护机制，保证项目实施各阶段安全顺利进行</w:t>
      </w:r>
      <w:r>
        <w:rPr>
          <w:rFonts w:hint="eastAsia" w:eastAsia="仿宋_GB2312"/>
          <w:sz w:val="32"/>
          <w:szCs w:val="32"/>
        </w:rPr>
        <w:t>，</w:t>
      </w:r>
      <w:r>
        <w:rPr>
          <w:rFonts w:hint="eastAsia" w:ascii="仿宋_GB2312" w:hAnsi="仿宋_GB2312" w:eastAsia="仿宋_GB2312" w:cs="仿宋_GB2312"/>
          <w:sz w:val="32"/>
          <w:szCs w:val="32"/>
        </w:rPr>
        <w:t>目前已全部完成实际设立的目标，保障了全年场馆运行及业务运行的正常开展。</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2024年，新疆图书馆全年对公众免费开放，确保场馆良好运行，开展读者服务、读者活动、展览讲座、业务培训、基层辅导、数字阅读、文献购置等项目，惠及到馆读者及线上读者，丰富了群众的精神文化生活，保障了公众知识获取与使用公共空间的权利。扩大场馆延时开放区域，延长开放时间，每天延长服务读者时间4小时。接待进馆读者131.2万人次，新增持证人数21399人。完成报纸、期刊续订，新增图书文献14338册。以重要时间节点和节气节日文化为主题，以线上线下联动的方式，策划举办“春到万家——图书馆里过大年”系列活动、“书香致远润天山·书韵迎春享悦读”——2024年年庆系列阅读推广活动、“再发现图书馆 共读现代文明”系列阅读推广活动、“四季童读”青少年阅读推广活动、“阅绘999”绘本故事系列活动、“阅·见新疆”第一季——“诗歌里的家乡”主题活动、“字典里的中国”——李新晨全谱系新华字典特藏版本文献展等系列活动15场，吸引近159.7万人次参与，在弘扬中华优秀传统文化、推进“文化润疆”方面发挥了积极作用。</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3.资金投入和使用情况</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（1）资金投入情况</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该项目年初预算数620万元，全年预算数620万元，实际总投入620万元，该项目资金已全部落实到位，资金来源为自治区财政资金。</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（2）资金使用情况</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项目年初预算数620万元，全年预算数620万元，全年执行数620万元，预算执行率为100%，主要用于：1.免费向社会公众开放，保障5.6万平方米场馆日常运转运行。2.建设图书信息资源馆藏体系。根据社会公众需求，收集、整理、保存文献信息（包括图书报刊、音像制品、缩微制品、数字资源等），按照国家标准、规范对馆藏文献信息进行整理，建立馆藏文献信息目录，建设图书信息资源馆藏体系；系统收集新疆地方文献信息，保存和传承地方文化；3.决策参考和立法咨询服务。编制专题信息产品，持续开展自治区“两会”服务工作。4.特殊群体服务。开展面向少年儿童的阅读指导和社会教育活动，并为学校开展有关课外活动提供支持。根据老年人、残疾人等群体的特点，积极创造条件，提供适合其需要的文献信息、无障碍设施设备和服务等。5.推动、引导、服务全民阅读。通过全民读书月、世界读书日等主题活动，开展阅读指导、读书交流、演讲诵读、亲子阅读等活动，指导全疆各级公共图书馆开展全民阅读推广活动。促进文献信息的有效利用。</w:t>
      </w:r>
    </w:p>
    <w:p>
      <w:pPr>
        <w:spacing w:line="560" w:lineRule="exact"/>
        <w:ind w:firstLine="640" w:firstLineChars="200"/>
        <w:rPr>
          <w:rFonts w:eastAsia="楷体_GB2312"/>
          <w:b w:val="0"/>
          <w:bCs w:val="0"/>
          <w:sz w:val="32"/>
          <w:szCs w:val="32"/>
        </w:rPr>
      </w:pPr>
      <w:r>
        <w:rPr>
          <w:rFonts w:eastAsia="楷体_GB2312"/>
          <w:b w:val="0"/>
          <w:bCs w:val="0"/>
          <w:sz w:val="32"/>
          <w:szCs w:val="32"/>
        </w:rPr>
        <w:t>（二）项目绩效目标</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1.总体目标</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根据文化和旅游部《“十四五”文化和旅游发展规划》《“十四五”公共文化服务体系建设规划》《新疆维吾尔自治区国民经济和社会发展第十四个五年规划和2035年远景目标纲要》及《自治区文化和旅游发展第十四个五年规划》等对“十四五”期间公共图书馆建设发展要求，本项目总体目标是：适应高质量发展要求，推动新疆图书馆向“以人为中心”转型，建设开放、智慧、包容、共享的现代图书馆，建设成为自治区滋养民族心灵、培育文化自信的重要场所。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目标1：免费向社会公众开放，提供图书借阅及查询等服务，保障5.6万平方米场馆日常运转运行，全年图书馆流通人次达到50万人次，保障公众知识获取与使用公共空间的权利。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目标2：开展讲座、展览、培训、全民阅读活动等社会教育活动，深入推进全民阅读，传承中华优秀传统文化，全民阅读推广系列活动达到15场。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目标3：建设图书信息资源馆藏体系，不断丰富馆藏文献信息资源，做好馆藏信息文献的收集、整理和保存工作，保存传承地方历史文化和民族文化，图书文献采购数量达到</w:t>
      </w:r>
      <w:r>
        <w:rPr>
          <w:rFonts w:ascii="仿宋_GB2312" w:hAnsi="仿宋_GB2312" w:eastAsia="仿宋_GB2312" w:cs="仿宋_GB2312"/>
          <w:sz w:val="32"/>
          <w:szCs w:val="32"/>
        </w:rPr>
        <w:t>12</w:t>
      </w:r>
      <w:r>
        <w:rPr>
          <w:rFonts w:hint="eastAsia" w:ascii="仿宋_GB2312" w:hAnsi="仿宋_GB2312" w:eastAsia="仿宋_GB2312" w:cs="仿宋_GB2312"/>
          <w:sz w:val="32"/>
          <w:szCs w:val="32"/>
        </w:rPr>
        <w:t xml:space="preserve">000册，图书验收合格率100%，图书采购及时率100%。                                                                </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2.阶段性目标</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（1）前期准备：根据《免费开放运行经费项目申报书》和《免费开放运行经费项目支出绩效目标表》，结合新疆图书馆2024年工作要点，安排部署项目各项工作内容。</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（2）组织实施：待资金到位，立即根据项目要求组织实施。按照《免费开放运行经费项目申报书》和《免费开放运行经费项目支出绩效目标表》要求，逐一进行安排部署，提高项目质量及效率性。</w:t>
      </w:r>
    </w:p>
    <w:p>
      <w:pPr>
        <w:spacing w:line="560" w:lineRule="exact"/>
        <w:ind w:firstLine="640" w:firstLineChars="200"/>
        <w:rPr>
          <w:rFonts w:eastAsia="黑体"/>
          <w:sz w:val="32"/>
          <w:szCs w:val="32"/>
        </w:rPr>
      </w:pPr>
      <w:r>
        <w:rPr>
          <w:rFonts w:eastAsia="黑体"/>
          <w:sz w:val="32"/>
          <w:szCs w:val="32"/>
        </w:rPr>
        <w:t>二、绩效评价工作开展情况</w:t>
      </w:r>
    </w:p>
    <w:p>
      <w:pPr>
        <w:spacing w:line="560" w:lineRule="exact"/>
        <w:ind w:firstLine="640" w:firstLineChars="200"/>
        <w:rPr>
          <w:rFonts w:eastAsia="楷体_GB2312"/>
          <w:b w:val="0"/>
          <w:bCs w:val="0"/>
          <w:sz w:val="32"/>
          <w:szCs w:val="32"/>
        </w:rPr>
      </w:pPr>
      <w:r>
        <w:rPr>
          <w:rFonts w:eastAsia="楷体_GB2312"/>
          <w:b w:val="0"/>
          <w:bCs w:val="0"/>
          <w:sz w:val="32"/>
          <w:szCs w:val="32"/>
        </w:rPr>
        <w:t>（一）绩效评价目的、对象和范围</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1.绩效评价完整性</w:t>
      </w:r>
    </w:p>
    <w:p>
      <w:pPr>
        <w:spacing w:line="560" w:lineRule="exact"/>
        <w:ind w:firstLine="640" w:firstLineChars="200"/>
        <w:rPr>
          <w:rFonts w:eastAsia="仿宋_GB2312"/>
          <w:sz w:val="32"/>
          <w:szCs w:val="32"/>
        </w:rPr>
      </w:pPr>
      <w:r>
        <w:rPr>
          <w:rFonts w:hint="eastAsia" w:ascii="仿宋_GB2312" w:hAnsi="仿宋_GB2312" w:eastAsia="仿宋_GB2312" w:cs="仿宋_GB2312"/>
          <w:sz w:val="32"/>
          <w:szCs w:val="32"/>
        </w:rPr>
        <w:t>本项目预算绩效评价报告在编制过程中，严格遵循相关法规与标准，确保评</w:t>
      </w:r>
      <w:r>
        <w:rPr>
          <w:rFonts w:eastAsia="仿宋_GB2312"/>
          <w:sz w:val="32"/>
          <w:szCs w:val="32"/>
        </w:rPr>
        <w:t>价内容的全面性与准确性。报告涵盖了项目从预算编制、执行到完成的全过程，对项目的各项绩效指标进行了细致的梳理与评估。</w:t>
      </w:r>
    </w:p>
    <w:p>
      <w:pPr>
        <w:spacing w:line="560" w:lineRule="exact"/>
        <w:ind w:firstLine="640" w:firstLineChars="200"/>
        <w:rPr>
          <w:rFonts w:eastAsia="仿宋_GB2312"/>
          <w:sz w:val="32"/>
          <w:szCs w:val="32"/>
        </w:rPr>
      </w:pPr>
      <w:r>
        <w:rPr>
          <w:rFonts w:eastAsia="仿宋_GB2312"/>
          <w:sz w:val="32"/>
          <w:szCs w:val="32"/>
        </w:rPr>
        <w:t>在评价指标体系的构建上，充分考虑了项目的性质、目标以及预期成果，选取了具有代表性和可衡量性的关键指标，涵盖了社会效益等多个维度，力求全方位反映项目的绩效状况。同时，对于每个指标的评价标准和数据来源均进行了明确说明，确保评价结果的客观性和可追溯性。</w:t>
      </w:r>
    </w:p>
    <w:p>
      <w:pPr>
        <w:spacing w:line="560" w:lineRule="exact"/>
        <w:ind w:firstLine="640" w:firstLineChars="200"/>
        <w:rPr>
          <w:rFonts w:eastAsia="仿宋_GB2312"/>
          <w:sz w:val="32"/>
          <w:szCs w:val="32"/>
        </w:rPr>
      </w:pPr>
      <w:r>
        <w:rPr>
          <w:rFonts w:eastAsia="仿宋_GB2312"/>
          <w:sz w:val="32"/>
          <w:szCs w:val="32"/>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rPr>
          <w:rFonts w:eastAsia="仿宋_GB2312"/>
          <w:sz w:val="32"/>
          <w:szCs w:val="32"/>
        </w:rPr>
      </w:pPr>
      <w:r>
        <w:rPr>
          <w:rFonts w:eastAsia="仿宋_GB2312"/>
          <w:sz w:val="32"/>
          <w:szCs w:val="32"/>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rPr>
          <w:rFonts w:eastAsia="仿宋_GB2312"/>
          <w:sz w:val="32"/>
          <w:szCs w:val="32"/>
        </w:rPr>
      </w:pPr>
      <w:r>
        <w:rPr>
          <w:rFonts w:eastAsia="仿宋_GB2312"/>
          <w:sz w:val="32"/>
          <w:szCs w:val="32"/>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2.绩效评价的目的</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（1）评估项目实施效果</w:t>
      </w:r>
    </w:p>
    <w:p>
      <w:pPr>
        <w:spacing w:line="560" w:lineRule="exact"/>
        <w:ind w:firstLine="640" w:firstLineChars="200"/>
        <w:rPr>
          <w:rFonts w:hint="eastAsia" w:eastAsia="仿宋_GB2312"/>
          <w:sz w:val="32"/>
          <w:szCs w:val="32"/>
        </w:rPr>
      </w:pPr>
      <w:r>
        <w:rPr>
          <w:rFonts w:hint="eastAsia" w:ascii="仿宋_GB2312" w:hAnsi="仿宋_GB2312" w:eastAsia="仿宋_GB2312" w:cs="仿宋_GB2312"/>
          <w:sz w:val="32"/>
          <w:szCs w:val="32"/>
        </w:rPr>
        <w:t>通过对项目预算执行情况及各项绩效目标达成程度的系统性分析，全面、客观地评估项目在预定周期内的实施效果，包括社会效益等多维度指标，为项目后续的改进与优化提供科学依</w:t>
      </w:r>
      <w:r>
        <w:rPr>
          <w:rFonts w:hint="eastAsia" w:eastAsia="仿宋_GB2312"/>
          <w:sz w:val="32"/>
          <w:szCs w:val="32"/>
        </w:rPr>
        <w:t>据。</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（2）提升资源利用效率</w:t>
      </w:r>
    </w:p>
    <w:p>
      <w:pPr>
        <w:spacing w:line="560" w:lineRule="exact"/>
        <w:ind w:firstLine="640" w:firstLineChars="200"/>
        <w:rPr>
          <w:rFonts w:eastAsia="仿宋_GB2312"/>
          <w:sz w:val="32"/>
          <w:szCs w:val="32"/>
        </w:rPr>
      </w:pPr>
      <w:r>
        <w:rPr>
          <w:rFonts w:eastAsia="仿宋_GB2312"/>
          <w:sz w:val="32"/>
          <w:szCs w:val="32"/>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（3）强化项目管理责任</w:t>
      </w:r>
    </w:p>
    <w:p>
      <w:pPr>
        <w:spacing w:line="560" w:lineRule="exact"/>
        <w:ind w:firstLine="640" w:firstLineChars="200"/>
        <w:rPr>
          <w:rFonts w:eastAsia="仿宋_GB2312"/>
          <w:sz w:val="32"/>
          <w:szCs w:val="32"/>
        </w:rPr>
      </w:pPr>
      <w:r>
        <w:rPr>
          <w:rFonts w:eastAsia="仿宋_GB2312"/>
          <w:sz w:val="32"/>
          <w:szCs w:val="32"/>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（4）为决策提供支持</w:t>
      </w:r>
    </w:p>
    <w:p>
      <w:pPr>
        <w:spacing w:line="560" w:lineRule="exact"/>
        <w:ind w:firstLine="640" w:firstLineChars="200"/>
        <w:rPr>
          <w:rFonts w:eastAsia="仿宋_GB2312"/>
          <w:sz w:val="32"/>
          <w:szCs w:val="32"/>
        </w:rPr>
      </w:pPr>
      <w:r>
        <w:rPr>
          <w:rFonts w:eastAsia="仿宋_GB2312"/>
          <w:sz w:val="32"/>
          <w:szCs w:val="32"/>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（5）促进项目持续改进</w:t>
      </w:r>
    </w:p>
    <w:p>
      <w:pPr>
        <w:spacing w:line="560" w:lineRule="exact"/>
        <w:ind w:firstLine="640" w:firstLineChars="200"/>
        <w:rPr>
          <w:rFonts w:eastAsia="仿宋_GB2312"/>
          <w:sz w:val="32"/>
          <w:szCs w:val="32"/>
        </w:rPr>
      </w:pPr>
      <w:r>
        <w:rPr>
          <w:rFonts w:eastAsia="仿宋_GB2312"/>
          <w:sz w:val="32"/>
          <w:szCs w:val="32"/>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spacing w:line="560" w:lineRule="exact"/>
        <w:ind w:firstLine="640" w:firstLineChars="200"/>
        <w:rPr>
          <w:rFonts w:eastAsia="方正仿宋_GBK"/>
          <w:sz w:val="32"/>
          <w:szCs w:val="32"/>
        </w:rPr>
      </w:pPr>
      <w:r>
        <w:rPr>
          <w:rFonts w:eastAsia="仿宋_GB2312"/>
          <w:sz w:val="32"/>
          <w:szCs w:val="32"/>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3.绩效评价的对象</w:t>
      </w:r>
    </w:p>
    <w:p>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本项目预算绩效评价报告的评价对象是</w:t>
      </w:r>
      <w:r>
        <w:rPr>
          <w:rFonts w:hint="eastAsia" w:ascii="仿宋_GB2312" w:hAnsi="仿宋_GB2312" w:eastAsia="仿宋_GB2312" w:cs="仿宋_GB2312"/>
          <w:b w:val="0"/>
        </w:rPr>
        <w:t>图书馆免费开放运行经费项目</w:t>
      </w:r>
      <w:r>
        <w:rPr>
          <w:rFonts w:ascii="Times New Roman" w:hAnsi="Times New Roman" w:eastAsia="仿宋_GB2312"/>
          <w:b w:val="0"/>
          <w:bCs w:val="0"/>
        </w:rPr>
        <w:t>及其预算执行情况。该项目由</w:t>
      </w:r>
      <w:r>
        <w:rPr>
          <w:rFonts w:hint="eastAsia" w:ascii="Times New Roman" w:hAnsi="Times New Roman" w:eastAsia="仿宋_GB2312"/>
          <w:b w:val="0"/>
          <w:bCs w:val="0"/>
        </w:rPr>
        <w:t>新疆图书馆</w:t>
      </w:r>
      <w:r>
        <w:rPr>
          <w:rFonts w:ascii="Times New Roman" w:hAnsi="Times New Roman" w:eastAsia="仿宋_GB2312"/>
          <w:b w:val="0"/>
          <w:bCs w:val="0"/>
        </w:rPr>
        <w:t>负责实施，旨在</w:t>
      </w:r>
      <w:r>
        <w:rPr>
          <w:rFonts w:hint="eastAsia" w:ascii="Times New Roman" w:hAnsi="Times New Roman" w:eastAsia="仿宋_GB2312"/>
          <w:b w:val="0"/>
          <w:bCs w:val="0"/>
        </w:rPr>
        <w:t>适应高质量发展要求，推动新疆图书馆向“以人为中心”转型，建设开放、智慧、包容、共享的现代图书馆，建设成为自治区滋养民族心灵、培育文化自信的重要场所。</w:t>
      </w:r>
      <w:r>
        <w:rPr>
          <w:rFonts w:ascii="Times New Roman" w:hAnsi="Times New Roman" w:eastAsia="仿宋_GB2312"/>
          <w:b w:val="0"/>
          <w:bCs w:val="0"/>
        </w:rPr>
        <w:t>项目预</w:t>
      </w:r>
      <w:r>
        <w:rPr>
          <w:rFonts w:hint="eastAsia" w:ascii="仿宋_GB2312" w:hAnsi="仿宋_GB2312" w:eastAsia="仿宋_GB2312" w:cs="仿宋_GB2312"/>
          <w:b w:val="0"/>
          <w:bCs w:val="0"/>
          <w:kern w:val="2"/>
          <w:sz w:val="32"/>
          <w:szCs w:val="32"/>
          <w:lang w:val="en-US" w:eastAsia="zh-CN" w:bidi="ar-SA"/>
        </w:rPr>
        <w:t>算涵盖从2024年1月1日至2024年12月31日的全部资金投入与支出，涉及资金总额为620万元。</w:t>
      </w:r>
    </w:p>
    <w:p>
      <w:pPr>
        <w:pStyle w:val="10"/>
        <w:widowControl w:val="0"/>
        <w:spacing w:before="0" w:after="0" w:line="560" w:lineRule="exact"/>
        <w:ind w:firstLine="640" w:firstLineChars="200"/>
        <w:jc w:val="both"/>
        <w:outlineLvl w:val="9"/>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4.绩效评价的范围</w:t>
      </w:r>
    </w:p>
    <w:p>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本项目预算绩效评价报告的评价范围广泛而全面，涵盖了从项目立项至评价时点期间的所有关键预算活动和财务流程。具体而言，评价范围包括但不限于以下几个方面：</w:t>
      </w:r>
    </w:p>
    <w:p>
      <w:pPr>
        <w:pStyle w:val="10"/>
        <w:widowControl w:val="0"/>
        <w:spacing w:before="0" w:after="0" w:line="560" w:lineRule="exact"/>
        <w:ind w:firstLine="640" w:firstLineChars="200"/>
        <w:jc w:val="both"/>
        <w:outlineLvl w:val="9"/>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（1）项目预算编制与执行：全面审视项目预算的编制依据、合理性、科学性以及实际执行情况，包括预算调整的原因和效果。</w:t>
      </w:r>
    </w:p>
    <w:p>
      <w:pPr>
        <w:pStyle w:val="10"/>
        <w:widowControl w:val="0"/>
        <w:numPr>
          <w:ilvl w:val="0"/>
          <w:numId w:val="0"/>
        </w:numPr>
        <w:spacing w:before="0" w:after="0" w:line="560" w:lineRule="exact"/>
        <w:ind w:firstLine="640" w:firstLineChars="200"/>
        <w:jc w:val="both"/>
        <w:outlineLvl w:val="9"/>
        <w:rPr>
          <w:rFonts w:ascii="Times New Roman" w:hAnsi="Times New Roman" w:eastAsia="仿宋_GB2312"/>
          <w:b w:val="0"/>
          <w:bCs w:val="0"/>
        </w:rPr>
      </w:pPr>
      <w:r>
        <w:rPr>
          <w:rFonts w:hint="eastAsia" w:ascii="仿宋_GB2312" w:hAnsi="仿宋_GB2312" w:eastAsia="仿宋_GB2312" w:cs="仿宋_GB2312"/>
          <w:b w:val="0"/>
          <w:bCs w:val="0"/>
          <w:kern w:val="2"/>
          <w:sz w:val="32"/>
          <w:szCs w:val="32"/>
          <w:lang w:val="en-US" w:eastAsia="zh-CN" w:bidi="ar-SA"/>
        </w:rPr>
        <w:t>（2）资</w:t>
      </w:r>
      <w:r>
        <w:rPr>
          <w:rFonts w:ascii="Times New Roman" w:hAnsi="Times New Roman" w:eastAsia="仿宋_GB2312"/>
          <w:b w:val="0"/>
          <w:bCs w:val="0"/>
        </w:rPr>
        <w:t>金管理：深入分析项目资金的分配、使用和监管情况，确保资金使用的合规性、高效性和透明度。</w:t>
      </w:r>
    </w:p>
    <w:p>
      <w:pPr>
        <w:pStyle w:val="10"/>
        <w:widowControl w:val="0"/>
        <w:numPr>
          <w:ilvl w:val="0"/>
          <w:numId w:val="0"/>
        </w:numPr>
        <w:spacing w:before="0" w:after="0" w:line="560" w:lineRule="exact"/>
        <w:ind w:firstLine="640" w:firstLineChars="200"/>
        <w:jc w:val="both"/>
        <w:outlineLvl w:val="9"/>
        <w:rPr>
          <w:rFonts w:ascii="Times New Roman" w:hAnsi="Times New Roman" w:eastAsia="仿宋_GB2312"/>
          <w:b w:val="0"/>
          <w:bCs w:val="0"/>
        </w:rPr>
      </w:pPr>
      <w:r>
        <w:rPr>
          <w:rFonts w:hint="eastAsia" w:ascii="仿宋_GB2312" w:hAnsi="仿宋_GB2312" w:eastAsia="仿宋_GB2312" w:cs="仿宋_GB2312"/>
          <w:b w:val="0"/>
          <w:bCs w:val="0"/>
          <w:kern w:val="2"/>
          <w:sz w:val="32"/>
          <w:szCs w:val="32"/>
          <w:lang w:val="en-US" w:eastAsia="zh-CN" w:bidi="ar-SA"/>
        </w:rPr>
        <w:t>（3）项目实施进度与产出：评估项目是否按照既定计划顺利推进，各项</w:t>
      </w:r>
      <w:r>
        <w:rPr>
          <w:rFonts w:ascii="Times New Roman" w:hAnsi="Times New Roman" w:eastAsia="仿宋_GB2312"/>
          <w:b w:val="0"/>
          <w:bCs w:val="0"/>
        </w:rPr>
        <w:t>任务是否按时完成，以及项目产出的数量、质量和时效性是否符合预期。</w:t>
      </w:r>
    </w:p>
    <w:p>
      <w:pPr>
        <w:pStyle w:val="10"/>
        <w:widowControl w:val="0"/>
        <w:numPr>
          <w:ilvl w:val="0"/>
          <w:numId w:val="0"/>
        </w:numPr>
        <w:spacing w:before="0" w:after="0" w:line="560" w:lineRule="exact"/>
        <w:ind w:firstLine="640" w:firstLineChars="200"/>
        <w:jc w:val="both"/>
        <w:outlineLvl w:val="9"/>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（4）社会、生态等影响：考察项目对社会等方面的综合影响。</w:t>
      </w:r>
    </w:p>
    <w:p>
      <w:pPr>
        <w:spacing w:line="560" w:lineRule="exact"/>
        <w:ind w:firstLine="640" w:firstLineChars="200"/>
        <w:rPr>
          <w:b w:val="0"/>
          <w:bCs w:val="0"/>
        </w:rPr>
      </w:pPr>
      <w:r>
        <w:rPr>
          <w:rFonts w:eastAsia="楷体_GB2312"/>
          <w:b w:val="0"/>
          <w:bCs w:val="0"/>
          <w:sz w:val="32"/>
          <w:szCs w:val="32"/>
        </w:rPr>
        <w:t>（二）绩效评价原则、评价指标体系（详情见表1）、评价方法、评价标准</w:t>
      </w:r>
    </w:p>
    <w:p>
      <w:pPr>
        <w:pStyle w:val="10"/>
        <w:widowControl w:val="0"/>
        <w:numPr>
          <w:ilvl w:val="0"/>
          <w:numId w:val="0"/>
        </w:numPr>
        <w:spacing w:before="0" w:after="0" w:line="560" w:lineRule="exact"/>
        <w:ind w:firstLine="640" w:firstLineChars="200"/>
        <w:jc w:val="both"/>
        <w:outlineLvl w:val="9"/>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1.绩效评价原则</w:t>
      </w:r>
    </w:p>
    <w:p>
      <w:pPr>
        <w:pStyle w:val="10"/>
        <w:widowControl w:val="0"/>
        <w:numPr>
          <w:ilvl w:val="0"/>
          <w:numId w:val="0"/>
        </w:numPr>
        <w:spacing w:before="0" w:after="0" w:line="560" w:lineRule="exact"/>
        <w:ind w:firstLine="640" w:firstLineChars="200"/>
        <w:jc w:val="both"/>
        <w:outlineLvl w:val="9"/>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本次项目绩效评价遵循以下基本原则：</w:t>
      </w:r>
    </w:p>
    <w:p>
      <w:pPr>
        <w:pStyle w:val="10"/>
        <w:widowControl w:val="0"/>
        <w:numPr>
          <w:ilvl w:val="0"/>
          <w:numId w:val="0"/>
        </w:numPr>
        <w:spacing w:before="0" w:after="0" w:line="560" w:lineRule="exact"/>
        <w:ind w:firstLine="640" w:firstLineChars="200"/>
        <w:jc w:val="both"/>
        <w:outlineLvl w:val="9"/>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（1）科学公正。绩效评价应当运用科学合理的方法，按照规范的程序，对项目绩效进行客观、公正的反映。</w:t>
      </w:r>
    </w:p>
    <w:p>
      <w:pPr>
        <w:pStyle w:val="10"/>
        <w:widowControl w:val="0"/>
        <w:numPr>
          <w:ilvl w:val="0"/>
          <w:numId w:val="0"/>
        </w:numPr>
        <w:spacing w:before="0" w:after="0" w:line="560" w:lineRule="exact"/>
        <w:ind w:firstLine="640" w:firstLineChars="200"/>
        <w:jc w:val="both"/>
        <w:outlineLvl w:val="9"/>
        <w:rPr>
          <w:rFonts w:ascii="Times New Roman" w:hAnsi="Times New Roman" w:eastAsia="仿宋_GB2312"/>
          <w:b w:val="0"/>
          <w:bCs w:val="0"/>
        </w:rPr>
      </w:pPr>
      <w:r>
        <w:rPr>
          <w:rFonts w:hint="eastAsia" w:ascii="仿宋_GB2312" w:hAnsi="仿宋_GB2312" w:eastAsia="仿宋_GB2312" w:cs="仿宋_GB2312"/>
          <w:b w:val="0"/>
          <w:bCs w:val="0"/>
          <w:kern w:val="2"/>
          <w:sz w:val="32"/>
          <w:szCs w:val="32"/>
          <w:lang w:val="en-US" w:eastAsia="zh-CN" w:bidi="ar-SA"/>
        </w:rPr>
        <w:t>（2）统筹兼顾</w:t>
      </w:r>
      <w:r>
        <w:rPr>
          <w:rFonts w:ascii="Times New Roman" w:hAnsi="Times New Roman" w:eastAsia="仿宋_GB2312"/>
          <w:b w:val="0"/>
          <w:bCs w:val="0"/>
        </w:rPr>
        <w:t>。单位自评、部门评价和财政评价应职责明确，各有侧重，相互衔接。单位自评应由项目单位自主实施，即“谁支出、谁自评”。部门评价和财政评价应在单位自评的基础上开展。</w:t>
      </w:r>
    </w:p>
    <w:p>
      <w:pPr>
        <w:pStyle w:val="10"/>
        <w:widowControl w:val="0"/>
        <w:numPr>
          <w:ilvl w:val="0"/>
          <w:numId w:val="0"/>
        </w:numPr>
        <w:spacing w:before="0" w:after="0" w:line="560" w:lineRule="exact"/>
        <w:ind w:firstLine="640" w:firstLineChars="200"/>
        <w:jc w:val="both"/>
        <w:outlineLvl w:val="9"/>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（3）激励约束。绩效评价结果应与预算安排、政策调整、改进管理实质性挂钩，体现奖优罚劣和激励相容导向，有效要安排、低效要压减、无效要问责。</w:t>
      </w:r>
    </w:p>
    <w:p>
      <w:pPr>
        <w:pStyle w:val="10"/>
        <w:widowControl w:val="0"/>
        <w:numPr>
          <w:ilvl w:val="0"/>
          <w:numId w:val="0"/>
        </w:numPr>
        <w:spacing w:before="0" w:after="0" w:line="560" w:lineRule="exact"/>
        <w:ind w:firstLine="640" w:firstLineChars="200"/>
        <w:jc w:val="both"/>
        <w:outlineLvl w:val="9"/>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（4）公开透明。绩效评价结果应依法依规公开，并自觉接受社会监督。</w:t>
      </w:r>
    </w:p>
    <w:p>
      <w:pPr>
        <w:pStyle w:val="10"/>
        <w:widowControl w:val="0"/>
        <w:numPr>
          <w:ilvl w:val="0"/>
          <w:numId w:val="0"/>
        </w:numPr>
        <w:spacing w:before="0" w:after="0" w:line="560" w:lineRule="exact"/>
        <w:ind w:firstLine="640" w:firstLineChars="200"/>
        <w:jc w:val="both"/>
        <w:outlineLvl w:val="9"/>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2.评价指标体系</w:t>
      </w:r>
    </w:p>
    <w:p>
      <w:pPr>
        <w:pStyle w:val="10"/>
        <w:widowControl w:val="0"/>
        <w:numPr>
          <w:ilvl w:val="0"/>
          <w:numId w:val="0"/>
        </w:numPr>
        <w:spacing w:before="0" w:after="0" w:line="560" w:lineRule="exact"/>
        <w:ind w:firstLine="640" w:firstLineChars="200"/>
        <w:jc w:val="both"/>
        <w:outlineLvl w:val="9"/>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绩效评价框架是开展绩效评价的核心。绩效评价框架包括评价准则、关键评价问题、评价指标、数据来源、数据收集方法等。指标体系建立过程如下：</w:t>
      </w:r>
    </w:p>
    <w:p>
      <w:pPr>
        <w:pStyle w:val="10"/>
        <w:widowControl w:val="0"/>
        <w:numPr>
          <w:ilvl w:val="0"/>
          <w:numId w:val="0"/>
        </w:numPr>
        <w:spacing w:before="0" w:after="0" w:line="560" w:lineRule="exact"/>
        <w:ind w:firstLine="640" w:firstLineChars="200"/>
        <w:jc w:val="both"/>
        <w:outlineLvl w:val="9"/>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（1）确定评价指标</w:t>
      </w:r>
    </w:p>
    <w:p>
      <w:pPr>
        <w:pStyle w:val="10"/>
        <w:widowControl w:val="0"/>
        <w:numPr>
          <w:ilvl w:val="0"/>
          <w:numId w:val="0"/>
        </w:numPr>
        <w:spacing w:before="0" w:after="0" w:line="560" w:lineRule="exact"/>
        <w:ind w:firstLine="640" w:firstLineChars="200"/>
        <w:jc w:val="both"/>
        <w:outlineLvl w:val="9"/>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采用层次分析法，建立评价指标体系。绩效评价将指标分为项目决策指标、项目过程指标、项目产出指标、项目效益指标四个维度，最终形成一个由多个相互联系的指标组成的多层次指标体系。</w:t>
      </w:r>
    </w:p>
    <w:p>
      <w:pPr>
        <w:pStyle w:val="10"/>
        <w:widowControl w:val="0"/>
        <w:numPr>
          <w:ilvl w:val="0"/>
          <w:numId w:val="0"/>
        </w:numPr>
        <w:spacing w:before="0" w:after="0" w:line="560" w:lineRule="exact"/>
        <w:ind w:firstLine="640" w:firstLineChars="200"/>
        <w:jc w:val="both"/>
        <w:outlineLvl w:val="9"/>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（2）确定权重</w:t>
      </w:r>
    </w:p>
    <w:p>
      <w:pPr>
        <w:pStyle w:val="10"/>
        <w:widowControl w:val="0"/>
        <w:numPr>
          <w:ilvl w:val="0"/>
          <w:numId w:val="0"/>
        </w:numPr>
        <w:spacing w:before="0" w:after="0" w:line="560" w:lineRule="exact"/>
        <w:ind w:firstLine="640" w:firstLineChars="200"/>
        <w:jc w:val="both"/>
        <w:outlineLvl w:val="9"/>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确定各个指标相对于项目总体绩效的权重分值。在绩效评价指标体系中，项目决策权重为20分，项目过程权重为20分，项目产出权重为40分，项目效益权重为20分。</w:t>
      </w:r>
    </w:p>
    <w:p>
      <w:pPr>
        <w:pStyle w:val="10"/>
        <w:widowControl w:val="0"/>
        <w:numPr>
          <w:ilvl w:val="0"/>
          <w:numId w:val="0"/>
        </w:numPr>
        <w:spacing w:before="0" w:after="0" w:line="560" w:lineRule="exact"/>
        <w:ind w:firstLine="640" w:firstLineChars="200"/>
        <w:jc w:val="both"/>
        <w:outlineLvl w:val="9"/>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（3）确定指标标准值</w:t>
      </w:r>
    </w:p>
    <w:p>
      <w:pPr>
        <w:pStyle w:val="10"/>
        <w:widowControl w:val="0"/>
        <w:numPr>
          <w:ilvl w:val="0"/>
          <w:numId w:val="0"/>
        </w:numPr>
        <w:spacing w:before="0" w:after="0" w:line="560" w:lineRule="exact"/>
        <w:ind w:firstLine="640" w:firstLineChars="200"/>
        <w:jc w:val="both"/>
        <w:outlineLvl w:val="9"/>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指标标准值是绩效评价指标的尺度，既要反映同类项目的先进水平，又要符合项目的实际绩效水平。具体采用计划标准等确定此次绩效评价指标标准值。</w:t>
      </w:r>
    </w:p>
    <w:p>
      <w:pPr>
        <w:pStyle w:val="10"/>
        <w:widowControl w:val="0"/>
        <w:numPr>
          <w:ilvl w:val="0"/>
          <w:numId w:val="0"/>
        </w:numPr>
        <w:spacing w:before="0" w:after="0" w:line="560" w:lineRule="exact"/>
        <w:ind w:firstLine="640" w:firstLineChars="200"/>
        <w:jc w:val="both"/>
        <w:outlineLvl w:val="9"/>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绩效评价总分值100分，根据综合评分结果，90（含）-100分为优、80（含）-90分为良、60（含）-80分为中、60分以下为差。</w:t>
      </w:r>
    </w:p>
    <w:p>
      <w:pPr>
        <w:pStyle w:val="10"/>
        <w:widowControl w:val="0"/>
        <w:numPr>
          <w:ilvl w:val="0"/>
          <w:numId w:val="0"/>
        </w:numPr>
        <w:spacing w:before="0" w:after="0" w:line="560" w:lineRule="exact"/>
        <w:ind w:firstLine="640" w:firstLineChars="200"/>
        <w:jc w:val="both"/>
        <w:outlineLvl w:val="9"/>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具体评价指标体系详情见附件1</w:t>
      </w:r>
    </w:p>
    <w:p>
      <w:pPr>
        <w:pStyle w:val="10"/>
        <w:widowControl w:val="0"/>
        <w:numPr>
          <w:ilvl w:val="0"/>
          <w:numId w:val="0"/>
        </w:numPr>
        <w:spacing w:before="0" w:after="0" w:line="560" w:lineRule="exact"/>
        <w:ind w:firstLine="640" w:firstLineChars="200"/>
        <w:jc w:val="both"/>
        <w:outlineLvl w:val="9"/>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3.绩效评价方法</w:t>
      </w:r>
    </w:p>
    <w:p>
      <w:pPr>
        <w:pStyle w:val="10"/>
        <w:widowControl w:val="0"/>
        <w:numPr>
          <w:ilvl w:val="0"/>
          <w:numId w:val="0"/>
        </w:numPr>
        <w:spacing w:before="0" w:after="0" w:line="560" w:lineRule="exact"/>
        <w:ind w:firstLine="640" w:firstLineChars="200"/>
        <w:jc w:val="both"/>
        <w:outlineLvl w:val="9"/>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绩效评价从项目决策、项目过程、项目产出、项目效益四个维度进行评价。评价对象为项目目标实施情况，  评价核心为资金的支出完成情况和项目的产出效益。</w:t>
      </w:r>
    </w:p>
    <w:p>
      <w:pPr>
        <w:pStyle w:val="10"/>
        <w:widowControl w:val="0"/>
        <w:numPr>
          <w:ilvl w:val="0"/>
          <w:numId w:val="0"/>
        </w:numPr>
        <w:spacing w:before="0" w:after="0" w:line="560" w:lineRule="exact"/>
        <w:ind w:firstLine="640" w:firstLineChars="200"/>
        <w:jc w:val="both"/>
        <w:outlineLvl w:val="9"/>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本次评价指标中，既有定性指标又有定量指标，各类指标因考核内容不同和客观标准不同存在较大差异，因此核定具体指标时采用了不同方法，具体评价方法如下：</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（一）比较法。是指将实施情况与绩效目标、历史情况、不同部门和地区同类支出情况进行比较的方法。</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w:t>
      </w:r>
      <w:r>
        <w:rPr>
          <w:rFonts w:hint="eastAsia" w:eastAsia="仿宋_GB2312"/>
          <w:color w:val="000000"/>
          <w:spacing w:val="17"/>
          <w:sz w:val="32"/>
          <w:szCs w:val="32"/>
        </w:rPr>
        <w:t>二</w:t>
      </w:r>
      <w:r>
        <w:rPr>
          <w:rFonts w:eastAsia="仿宋_GB2312"/>
          <w:color w:val="000000"/>
          <w:spacing w:val="17"/>
          <w:sz w:val="32"/>
          <w:szCs w:val="32"/>
        </w:rPr>
        <w:t>）因素分析法。是指综合分析影响绩效目标实现、实施效果的内外部因素的方法。</w:t>
      </w:r>
    </w:p>
    <w:p>
      <w:pPr>
        <w:pStyle w:val="10"/>
        <w:widowControl w:val="0"/>
        <w:numPr>
          <w:ilvl w:val="0"/>
          <w:numId w:val="0"/>
        </w:numPr>
        <w:spacing w:before="0" w:after="0" w:line="560" w:lineRule="exact"/>
        <w:ind w:firstLine="640" w:firstLineChars="200"/>
        <w:jc w:val="both"/>
        <w:outlineLvl w:val="9"/>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4.评价标准</w:t>
      </w:r>
    </w:p>
    <w:p>
      <w:pPr>
        <w:pStyle w:val="10"/>
        <w:widowControl w:val="0"/>
        <w:numPr>
          <w:ilvl w:val="0"/>
          <w:numId w:val="0"/>
        </w:numPr>
        <w:spacing w:before="0" w:after="0" w:line="560" w:lineRule="exact"/>
        <w:ind w:firstLine="640" w:firstLineChars="200"/>
        <w:jc w:val="both"/>
        <w:outlineLvl w:val="9"/>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绩效评价标准通常包括计划标准、行业标准、历史标准等，用于对绩效指标完成情况进行比较、分析、评价。本次评价主要采用了计划标准和历史标准。</w:t>
      </w:r>
    </w:p>
    <w:p>
      <w:pPr>
        <w:pStyle w:val="10"/>
        <w:widowControl w:val="0"/>
        <w:numPr>
          <w:ilvl w:val="0"/>
          <w:numId w:val="0"/>
        </w:numPr>
        <w:spacing w:before="0" w:after="0" w:line="560" w:lineRule="exact"/>
        <w:ind w:firstLine="640" w:firstLineChars="200"/>
        <w:jc w:val="both"/>
        <w:outlineLvl w:val="9"/>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（1）计划标准。指以预先制定的目标、计划、预算、定额等作为评价标准。</w:t>
      </w:r>
    </w:p>
    <w:p>
      <w:pPr>
        <w:pStyle w:val="10"/>
        <w:widowControl w:val="0"/>
        <w:numPr>
          <w:ilvl w:val="0"/>
          <w:numId w:val="0"/>
        </w:numPr>
        <w:spacing w:before="0" w:after="0" w:line="560" w:lineRule="exact"/>
        <w:ind w:firstLine="640" w:firstLineChars="200"/>
        <w:jc w:val="both"/>
        <w:outlineLvl w:val="9"/>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（2）行业标准。指参照国家公布的行业指标数据制定的评价标准。</w:t>
      </w:r>
    </w:p>
    <w:p>
      <w:pPr>
        <w:pStyle w:val="10"/>
        <w:widowControl w:val="0"/>
        <w:numPr>
          <w:ilvl w:val="0"/>
          <w:numId w:val="0"/>
        </w:numPr>
        <w:spacing w:before="0" w:after="0" w:line="560" w:lineRule="exact"/>
        <w:ind w:firstLine="640" w:firstLineChars="200"/>
        <w:jc w:val="both"/>
        <w:outlineLvl w:val="9"/>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（3）历史标准。指参照历史数据制定的评价标准，为体现绩效改进的原则，在可实现的条件下应当确定相对较高的评价标准。</w:t>
      </w:r>
    </w:p>
    <w:p>
      <w:pPr>
        <w:pStyle w:val="10"/>
        <w:widowControl w:val="0"/>
        <w:numPr>
          <w:ilvl w:val="0"/>
          <w:numId w:val="0"/>
        </w:numPr>
        <w:spacing w:before="0" w:after="0" w:line="560" w:lineRule="exact"/>
        <w:ind w:firstLine="640" w:firstLineChars="200"/>
        <w:jc w:val="both"/>
        <w:outlineLvl w:val="9"/>
        <w:rPr>
          <w:rFonts w:ascii="Times New Roman" w:hAnsi="Times New Roman" w:eastAsia="仿宋_GB2312"/>
          <w:b w:val="0"/>
          <w:bCs w:val="0"/>
        </w:rPr>
      </w:pPr>
      <w:r>
        <w:rPr>
          <w:rFonts w:hint="eastAsia" w:ascii="仿宋_GB2312" w:hAnsi="仿宋_GB2312" w:eastAsia="仿宋_GB2312" w:cs="仿宋_GB2312"/>
          <w:b w:val="0"/>
          <w:bCs w:val="0"/>
          <w:kern w:val="2"/>
          <w:sz w:val="32"/>
          <w:szCs w:val="32"/>
          <w:lang w:val="en-US" w:eastAsia="zh-CN" w:bidi="ar-SA"/>
        </w:rPr>
        <w:t>（4）财政部门和预算部门确认或</w:t>
      </w:r>
      <w:r>
        <w:rPr>
          <w:rFonts w:ascii="Times New Roman" w:hAnsi="Times New Roman" w:eastAsia="仿宋_GB2312"/>
          <w:b w:val="0"/>
          <w:bCs w:val="0"/>
        </w:rPr>
        <w:t>认可的其他标准。</w:t>
      </w:r>
    </w:p>
    <w:p>
      <w:pPr>
        <w:pStyle w:val="10"/>
        <w:numPr>
          <w:ilvl w:val="0"/>
          <w:numId w:val="1"/>
        </w:numPr>
        <w:spacing w:before="0" w:after="0" w:line="560" w:lineRule="exact"/>
        <w:ind w:firstLine="708" w:firstLineChars="200"/>
        <w:jc w:val="both"/>
        <w:rPr>
          <w:rFonts w:ascii="Times New Roman" w:hAnsi="Times New Roman" w:eastAsia="楷体"/>
          <w:b w:val="0"/>
          <w:bCs w:val="0"/>
          <w:color w:val="000000"/>
          <w:spacing w:val="17"/>
        </w:rPr>
      </w:pPr>
      <w:r>
        <w:rPr>
          <w:rFonts w:ascii="Times New Roman" w:hAnsi="Times New Roman" w:eastAsia="楷体"/>
          <w:b w:val="0"/>
          <w:bCs w:val="0"/>
          <w:color w:val="000000"/>
          <w:spacing w:val="17"/>
        </w:rPr>
        <w:t>绩效评价工作过程</w:t>
      </w:r>
    </w:p>
    <w:p>
      <w:pPr>
        <w:pStyle w:val="10"/>
        <w:widowControl w:val="0"/>
        <w:numPr>
          <w:ilvl w:val="0"/>
          <w:numId w:val="0"/>
        </w:numPr>
        <w:spacing w:before="0" w:after="0" w:line="560" w:lineRule="exact"/>
        <w:ind w:firstLine="640" w:firstLineChars="200"/>
        <w:jc w:val="both"/>
        <w:outlineLvl w:val="9"/>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1.前期准备与规划</w:t>
      </w:r>
    </w:p>
    <w:p>
      <w:pPr>
        <w:spacing w:line="560" w:lineRule="exact"/>
        <w:ind w:firstLine="640" w:firstLineChars="200"/>
        <w:rPr>
          <w:rFonts w:eastAsia="仿宋_GB2312"/>
          <w:sz w:val="32"/>
          <w:szCs w:val="32"/>
        </w:rPr>
      </w:pPr>
      <w:r>
        <w:rPr>
          <w:rFonts w:eastAsia="仿宋_GB2312"/>
          <w:sz w:val="32"/>
          <w:szCs w:val="32"/>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pPr>
        <w:pStyle w:val="10"/>
        <w:widowControl w:val="0"/>
        <w:numPr>
          <w:ilvl w:val="0"/>
          <w:numId w:val="0"/>
        </w:numPr>
        <w:spacing w:before="0" w:after="0" w:line="560" w:lineRule="exact"/>
        <w:ind w:firstLine="640" w:firstLineChars="200"/>
        <w:jc w:val="both"/>
        <w:outlineLvl w:val="9"/>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2.指标体系构建</w:t>
      </w:r>
    </w:p>
    <w:p>
      <w:pPr>
        <w:spacing w:line="560" w:lineRule="exact"/>
        <w:ind w:firstLine="640" w:firstLineChars="200"/>
        <w:rPr>
          <w:rFonts w:eastAsia="仿宋_GB2312"/>
          <w:sz w:val="32"/>
          <w:szCs w:val="32"/>
        </w:rPr>
      </w:pPr>
      <w:r>
        <w:rPr>
          <w:rFonts w:eastAsia="仿宋_GB2312"/>
          <w:sz w:val="32"/>
          <w:szCs w:val="32"/>
        </w:rPr>
        <w:t>依据项目的性质、目标以及预期成果，构建了科学合理的绩效评价指标体系。该指标体系涵盖了</w:t>
      </w:r>
      <w:r>
        <w:rPr>
          <w:rFonts w:eastAsia="仿宋_GB2312"/>
          <w:color w:val="000000"/>
          <w:spacing w:val="17"/>
          <w:sz w:val="32"/>
          <w:szCs w:val="32"/>
        </w:rPr>
        <w:t>项目决策、项目过程、项目产出、项目效益四个维度</w:t>
      </w:r>
      <w:r>
        <w:rPr>
          <w:rFonts w:eastAsia="仿宋_GB2312"/>
          <w:sz w:val="32"/>
          <w:szCs w:val="32"/>
        </w:rPr>
        <w:t>，选取了具有代表性和可衡量性的关键指标，并为每个指标设定了明确的评价标准与权重，确保评价结果能够全面、准确地反映项目的绩效状况。</w:t>
      </w:r>
    </w:p>
    <w:p>
      <w:pPr>
        <w:pStyle w:val="10"/>
        <w:widowControl w:val="0"/>
        <w:numPr>
          <w:ilvl w:val="0"/>
          <w:numId w:val="0"/>
        </w:numPr>
        <w:spacing w:before="0" w:after="0" w:line="560" w:lineRule="exact"/>
        <w:ind w:firstLine="640" w:firstLineChars="200"/>
        <w:jc w:val="both"/>
        <w:outlineLvl w:val="9"/>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3.数据收集与整理</w:t>
      </w:r>
    </w:p>
    <w:p>
      <w:pPr>
        <w:spacing w:line="560" w:lineRule="exact"/>
        <w:ind w:firstLine="640" w:firstLineChars="200"/>
        <w:rPr>
          <w:rFonts w:eastAsia="仿宋_GB2312"/>
          <w:sz w:val="32"/>
          <w:szCs w:val="32"/>
        </w:rPr>
      </w:pPr>
      <w:r>
        <w:rPr>
          <w:rFonts w:eastAsia="仿宋_GB2312"/>
          <w:sz w:val="32"/>
          <w:szCs w:val="32"/>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pStyle w:val="10"/>
        <w:widowControl w:val="0"/>
        <w:numPr>
          <w:ilvl w:val="0"/>
          <w:numId w:val="0"/>
        </w:numPr>
        <w:spacing w:before="0" w:after="0" w:line="560" w:lineRule="exact"/>
        <w:ind w:firstLine="640" w:firstLineChars="200"/>
        <w:jc w:val="both"/>
        <w:outlineLvl w:val="9"/>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4.数据分析与评估</w:t>
      </w:r>
    </w:p>
    <w:p>
      <w:pPr>
        <w:spacing w:line="560" w:lineRule="exact"/>
        <w:ind w:firstLine="640" w:firstLineChars="200"/>
        <w:rPr>
          <w:rFonts w:eastAsia="仿宋_GB2312"/>
          <w:sz w:val="32"/>
          <w:szCs w:val="32"/>
        </w:rPr>
      </w:pPr>
      <w:r>
        <w:rPr>
          <w:rFonts w:eastAsia="仿宋_GB2312"/>
          <w:sz w:val="32"/>
          <w:szCs w:val="32"/>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pStyle w:val="10"/>
        <w:widowControl w:val="0"/>
        <w:numPr>
          <w:ilvl w:val="0"/>
          <w:numId w:val="0"/>
        </w:numPr>
        <w:spacing w:before="0" w:after="0" w:line="560" w:lineRule="exact"/>
        <w:ind w:firstLine="640" w:firstLineChars="200"/>
        <w:jc w:val="both"/>
        <w:outlineLvl w:val="9"/>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5.报告撰写与反馈</w:t>
      </w:r>
    </w:p>
    <w:p>
      <w:pPr>
        <w:spacing w:line="560" w:lineRule="exact"/>
        <w:ind w:firstLine="640" w:firstLineChars="200"/>
        <w:rPr>
          <w:rFonts w:eastAsia="仿宋_GB2312"/>
          <w:sz w:val="32"/>
          <w:szCs w:val="32"/>
        </w:rPr>
      </w:pPr>
      <w:r>
        <w:rPr>
          <w:rFonts w:eastAsia="仿宋_GB2312"/>
          <w:sz w:val="32"/>
          <w:szCs w:val="32"/>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pStyle w:val="10"/>
        <w:widowControl w:val="0"/>
        <w:numPr>
          <w:ilvl w:val="0"/>
          <w:numId w:val="0"/>
        </w:numPr>
        <w:spacing w:before="0" w:after="0" w:line="560" w:lineRule="exact"/>
        <w:ind w:firstLine="640" w:firstLineChars="200"/>
        <w:jc w:val="both"/>
        <w:outlineLvl w:val="9"/>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6.后续跟踪与改进</w:t>
      </w:r>
    </w:p>
    <w:p>
      <w:pPr>
        <w:spacing w:line="560" w:lineRule="exact"/>
        <w:ind w:firstLine="640" w:firstLineChars="200"/>
        <w:rPr>
          <w:rFonts w:eastAsia="仿宋_GB2312"/>
          <w:sz w:val="32"/>
          <w:szCs w:val="32"/>
        </w:rPr>
      </w:pPr>
      <w:r>
        <w:rPr>
          <w:rFonts w:eastAsia="仿宋_GB2312"/>
          <w:sz w:val="32"/>
          <w:szCs w:val="32"/>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numPr>
          <w:ilvl w:val="0"/>
          <w:numId w:val="2"/>
        </w:numPr>
        <w:spacing w:line="560" w:lineRule="exact"/>
        <w:ind w:firstLine="640" w:firstLineChars="200"/>
        <w:rPr>
          <w:rFonts w:eastAsia="黑体"/>
          <w:sz w:val="32"/>
          <w:szCs w:val="32"/>
        </w:rPr>
      </w:pPr>
      <w:r>
        <w:rPr>
          <w:rFonts w:eastAsia="黑体"/>
          <w:sz w:val="32"/>
          <w:szCs w:val="32"/>
        </w:rPr>
        <w:t>综合评价情况及评价结论（附相关评分表）</w:t>
      </w:r>
    </w:p>
    <w:p>
      <w:pPr>
        <w:pStyle w:val="10"/>
        <w:spacing w:before="0" w:after="0" w:line="560" w:lineRule="exact"/>
        <w:ind w:firstLine="640" w:firstLineChars="200"/>
        <w:jc w:val="both"/>
        <w:rPr>
          <w:rFonts w:ascii="Times New Roman" w:hAnsi="Times New Roman" w:eastAsia="楷体_GB2312"/>
          <w:b w:val="0"/>
          <w:bCs w:val="0"/>
          <w:i w:val="0"/>
          <w:iCs w:val="0"/>
        </w:rPr>
      </w:pPr>
      <w:r>
        <w:rPr>
          <w:rFonts w:ascii="Times New Roman" w:hAnsi="Times New Roman" w:eastAsia="楷体_GB2312"/>
          <w:b w:val="0"/>
          <w:bCs w:val="0"/>
          <w:i w:val="0"/>
          <w:iCs w:val="0"/>
        </w:rPr>
        <w:t>（一）评价情况</w:t>
      </w:r>
    </w:p>
    <w:p>
      <w:pPr>
        <w:pStyle w:val="9"/>
        <w:widowControl/>
        <w:spacing w:beforeAutospacing="0" w:afterAutospacing="0" w:line="560" w:lineRule="exact"/>
        <w:ind w:firstLine="640" w:firstLineChars="200"/>
        <w:rPr>
          <w:rFonts w:eastAsia="仿宋_GB2312"/>
          <w:sz w:val="32"/>
          <w:szCs w:val="32"/>
          <w:highlight w:val="green"/>
        </w:rPr>
      </w:pPr>
      <w:r>
        <w:rPr>
          <w:rFonts w:eastAsia="仿宋_GB2312"/>
          <w:sz w:val="32"/>
          <w:szCs w:val="32"/>
        </w:rPr>
        <w:t>本项目的综合评价基于对项目各方面绩效的深入分析与评估。从项目目标的达成情况来看，</w:t>
      </w:r>
      <w:r>
        <w:rPr>
          <w:rFonts w:hint="eastAsia" w:eastAsia="仿宋_GB2312"/>
          <w:sz w:val="32"/>
          <w:szCs w:val="32"/>
        </w:rPr>
        <w:t>图书馆免费开放运行保障经费项目</w:t>
      </w:r>
      <w:r>
        <w:rPr>
          <w:rFonts w:eastAsia="仿宋_GB2312"/>
          <w:sz w:val="32"/>
          <w:szCs w:val="32"/>
        </w:rPr>
        <w:t>在</w:t>
      </w:r>
      <w:r>
        <w:rPr>
          <w:rFonts w:hint="eastAsia" w:eastAsia="仿宋_GB2312"/>
          <w:sz w:val="32"/>
          <w:szCs w:val="32"/>
        </w:rPr>
        <w:t>流通人次、全民阅读推广系列活动</w:t>
      </w:r>
      <w:r>
        <w:rPr>
          <w:rFonts w:eastAsia="仿宋_GB2312"/>
          <w:sz w:val="32"/>
          <w:szCs w:val="32"/>
        </w:rPr>
        <w:t>等方面表现出色，达到了预期的标准与要求。同时，项目也在</w:t>
      </w:r>
      <w:r>
        <w:rPr>
          <w:rFonts w:hint="eastAsia" w:eastAsia="仿宋_GB2312"/>
          <w:sz w:val="32"/>
          <w:szCs w:val="32"/>
        </w:rPr>
        <w:t>图书</w:t>
      </w:r>
      <w:r>
        <w:rPr>
          <w:rFonts w:eastAsia="仿宋_GB2312"/>
          <w:sz w:val="32"/>
          <w:szCs w:val="32"/>
        </w:rPr>
        <w:t>文献采购方面取得了显著的成效，如保障了馆藏期刊</w:t>
      </w:r>
      <w:r>
        <w:rPr>
          <w:rFonts w:hint="eastAsia" w:eastAsia="仿宋_GB2312"/>
          <w:sz w:val="32"/>
          <w:szCs w:val="32"/>
        </w:rPr>
        <w:t>、</w:t>
      </w:r>
      <w:r>
        <w:rPr>
          <w:rFonts w:eastAsia="仿宋_GB2312"/>
          <w:sz w:val="32"/>
          <w:szCs w:val="32"/>
        </w:rPr>
        <w:t>报纸的连续性</w:t>
      </w:r>
      <w:r>
        <w:rPr>
          <w:rFonts w:hint="eastAsia" w:eastAsia="仿宋_GB2312"/>
          <w:sz w:val="32"/>
          <w:szCs w:val="32"/>
        </w:rPr>
        <w:t>、</w:t>
      </w:r>
      <w:r>
        <w:rPr>
          <w:rFonts w:eastAsia="仿宋_GB2312"/>
          <w:sz w:val="32"/>
          <w:szCs w:val="32"/>
        </w:rPr>
        <w:t>购置图书文献信息资</w:t>
      </w:r>
      <w:r>
        <w:rPr>
          <w:rFonts w:hint="eastAsia" w:ascii="仿宋_GB2312" w:hAnsi="仿宋_GB2312" w:eastAsia="仿宋_GB2312" w:cs="仿宋_GB2312"/>
          <w:b w:val="0"/>
          <w:bCs w:val="0"/>
          <w:kern w:val="2"/>
          <w:sz w:val="32"/>
          <w:szCs w:val="32"/>
          <w:lang w:val="en-US" w:eastAsia="zh-CN" w:bidi="ar-SA"/>
        </w:rPr>
        <w:t>源14339册等。</w:t>
      </w:r>
    </w:p>
    <w:p>
      <w:pPr>
        <w:pStyle w:val="9"/>
        <w:widowControl/>
        <w:spacing w:beforeAutospacing="0" w:afterAutospacing="0" w:line="560" w:lineRule="exact"/>
        <w:ind w:firstLine="640" w:firstLineChars="200"/>
        <w:rPr>
          <w:rFonts w:eastAsia="仿宋_GB2312"/>
          <w:sz w:val="32"/>
          <w:szCs w:val="32"/>
        </w:rPr>
      </w:pPr>
      <w:r>
        <w:rPr>
          <w:rFonts w:eastAsia="仿宋_GB2312"/>
          <w:sz w:val="32"/>
          <w:szCs w:val="32"/>
        </w:rPr>
        <w:t>在项目管理方面，</w:t>
      </w:r>
      <w:r>
        <w:rPr>
          <w:rFonts w:hint="eastAsia" w:eastAsia="仿宋_GB2312"/>
          <w:sz w:val="32"/>
          <w:szCs w:val="32"/>
        </w:rPr>
        <w:t>新疆图书馆</w:t>
      </w:r>
      <w:r>
        <w:rPr>
          <w:rFonts w:eastAsia="仿宋_GB2312"/>
          <w:sz w:val="32"/>
          <w:szCs w:val="32"/>
        </w:rPr>
        <w:t>通过有效的规划、组织与协调，项目得以顺利实施，并在预算与时间上保持了良好的控制。</w:t>
      </w:r>
    </w:p>
    <w:p>
      <w:pPr>
        <w:pStyle w:val="9"/>
        <w:widowControl/>
        <w:spacing w:beforeAutospacing="0" w:afterAutospacing="0" w:line="560" w:lineRule="exact"/>
        <w:ind w:firstLine="640" w:firstLineChars="200"/>
        <w:rPr>
          <w:rFonts w:eastAsia="仿宋_GB2312"/>
          <w:sz w:val="32"/>
          <w:szCs w:val="32"/>
        </w:rPr>
      </w:pPr>
      <w:r>
        <w:rPr>
          <w:rFonts w:eastAsia="仿宋_GB2312"/>
          <w:sz w:val="32"/>
          <w:szCs w:val="32"/>
        </w:rPr>
        <w:t>从项目效益的角度来看，本项目实现了预期的社会效益、等方面产生了积极的影响。具体而言，</w:t>
      </w:r>
      <w:r>
        <w:rPr>
          <w:rFonts w:hint="eastAsia" w:eastAsia="仿宋_GB2312"/>
          <w:sz w:val="32"/>
          <w:szCs w:val="32"/>
        </w:rPr>
        <w:t>读者</w:t>
      </w:r>
      <w:r>
        <w:rPr>
          <w:rFonts w:eastAsia="仿宋_GB2312"/>
          <w:sz w:val="32"/>
          <w:szCs w:val="32"/>
        </w:rPr>
        <w:t>满意度等方面的提升，为项目的利益相关者带来了实实在在的利益。</w:t>
      </w:r>
    </w:p>
    <w:p>
      <w:pPr>
        <w:pStyle w:val="9"/>
        <w:widowControl/>
        <w:spacing w:beforeAutospacing="0" w:afterAutospacing="0" w:line="560" w:lineRule="exact"/>
        <w:ind w:firstLine="640" w:firstLineChars="200"/>
      </w:pPr>
      <w:r>
        <w:rPr>
          <w:rFonts w:eastAsia="仿宋_GB2312"/>
          <w:sz w:val="32"/>
          <w:szCs w:val="32"/>
        </w:rPr>
        <w:t>综上所述，</w:t>
      </w:r>
      <w:r>
        <w:rPr>
          <w:rFonts w:hint="eastAsia" w:eastAsia="仿宋_GB2312"/>
          <w:sz w:val="32"/>
          <w:szCs w:val="32"/>
        </w:rPr>
        <w:t>图书馆免费开放运行保障经费项目</w:t>
      </w:r>
      <w:r>
        <w:rPr>
          <w:rFonts w:eastAsia="仿宋_GB2312"/>
          <w:sz w:val="32"/>
          <w:szCs w:val="32"/>
        </w:rPr>
        <w:t>在绩效评价中表现出色，达到了项目的预期目标，并在多个方面取得了显著的成效。</w:t>
      </w:r>
    </w:p>
    <w:p>
      <w:pPr>
        <w:pStyle w:val="10"/>
        <w:spacing w:before="0" w:after="0" w:line="560" w:lineRule="exact"/>
        <w:ind w:firstLine="640" w:firstLineChars="200"/>
        <w:jc w:val="both"/>
        <w:rPr>
          <w:rFonts w:ascii="Times New Roman" w:hAnsi="Times New Roman" w:eastAsia="楷体_GB2312"/>
          <w:b w:val="0"/>
          <w:bCs w:val="0"/>
        </w:rPr>
      </w:pPr>
      <w:r>
        <w:rPr>
          <w:rFonts w:ascii="Times New Roman" w:hAnsi="Times New Roman" w:eastAsia="楷体_GB2312"/>
          <w:b w:val="0"/>
          <w:bCs w:val="0"/>
        </w:rPr>
        <w:t>（二）评价结论</w:t>
      </w:r>
    </w:p>
    <w:p>
      <w:pPr>
        <w:pStyle w:val="9"/>
        <w:widowControl/>
        <w:spacing w:beforeAutospacing="0" w:afterAutospacing="0" w:line="560" w:lineRule="exact"/>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运用绩效评价组制定的评价指标体系以及财政部《项目支出绩效评价管理办法》（财预〔2020〕10号）文件的评分标准，通过数据采集、问卷调查及访谈等方式，对本项目进行客观评价，最终评分结果：总得分为94.05分，属于“优”。其中，项目决策类指标权重为20分，得分为 20分，得分率为100%。项目过程类指标权重为20分，得分为20分，得分率为100%。项目产出类指标权重为40分，得分为34.05分，得分率为85.125%。项目效益类指标权重为20分，得分为20分，得分率为100%。具体打分情况详见：附件1综合评分表。</w:t>
      </w:r>
    </w:p>
    <w:p>
      <w:pPr>
        <w:pStyle w:val="9"/>
        <w:widowControl/>
        <w:spacing w:beforeAutospacing="0" w:afterAutospacing="0" w:line="560" w:lineRule="exact"/>
        <w:ind w:firstLine="640" w:firstLineChars="200"/>
        <w:rPr>
          <w:rFonts w:hint="eastAsia" w:ascii="仿宋_GB2312" w:hAnsi="仿宋_GB2312" w:eastAsia="仿宋_GB2312" w:cs="仿宋_GB2312"/>
          <w:b w:val="0"/>
          <w:bCs w:val="0"/>
          <w:kern w:val="2"/>
          <w:sz w:val="32"/>
          <w:szCs w:val="32"/>
          <w:lang w:val="en-US" w:eastAsia="zh-CN" w:bidi="ar-SA"/>
        </w:rPr>
      </w:pPr>
    </w:p>
    <w:p>
      <w:pPr>
        <w:pStyle w:val="9"/>
        <w:widowControl/>
        <w:spacing w:beforeAutospacing="0" w:afterAutospacing="0" w:line="560" w:lineRule="exact"/>
        <w:ind w:firstLine="640" w:firstLineChars="200"/>
        <w:rPr>
          <w:rFonts w:hint="eastAsia" w:ascii="仿宋_GB2312" w:hAnsi="仿宋_GB2312" w:eastAsia="仿宋_GB2312" w:cs="仿宋_GB2312"/>
          <w:b w:val="0"/>
          <w:bCs w:val="0"/>
          <w:kern w:val="2"/>
          <w:sz w:val="32"/>
          <w:szCs w:val="32"/>
          <w:lang w:val="en-US" w:eastAsia="zh-CN" w:bidi="ar-SA"/>
        </w:rPr>
      </w:pPr>
    </w:p>
    <w:p>
      <w:pPr>
        <w:pStyle w:val="10"/>
        <w:spacing w:before="0" w:after="0"/>
        <w:rPr>
          <w:rFonts w:ascii="Times New Roman" w:hAnsi="Times New Roman" w:eastAsia="仿宋_GB2312"/>
          <w:sz w:val="21"/>
          <w:szCs w:val="21"/>
        </w:rPr>
      </w:pPr>
    </w:p>
    <w:p>
      <w:pPr>
        <w:pStyle w:val="10"/>
        <w:spacing w:before="0" w:after="0"/>
        <w:rPr>
          <w:rFonts w:ascii="Times New Roman" w:hAnsi="Times New Roman" w:eastAsia="仿宋_GB2312"/>
          <w:sz w:val="21"/>
          <w:szCs w:val="21"/>
        </w:rPr>
      </w:pPr>
      <w:r>
        <w:rPr>
          <w:rFonts w:ascii="Times New Roman" w:hAnsi="Times New Roman" w:eastAsia="仿宋_GB2312"/>
          <w:sz w:val="21"/>
          <w:szCs w:val="21"/>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rFonts w:eastAsia="仿宋_GB2312"/>
                <w:b/>
                <w:bCs/>
                <w:color w:val="000000"/>
                <w:szCs w:val="21"/>
              </w:rPr>
            </w:pPr>
            <w:r>
              <w:rPr>
                <w:rFonts w:eastAsia="仿宋_GB2312"/>
                <w:b/>
                <w:bCs/>
                <w:color w:val="000000"/>
                <w:szCs w:val="21"/>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eastAsia="仿宋_GB2312"/>
                <w:b/>
                <w:bCs/>
                <w:color w:val="000000"/>
                <w:szCs w:val="21"/>
              </w:rPr>
            </w:pPr>
            <w:r>
              <w:rPr>
                <w:rFonts w:eastAsia="仿宋_GB2312"/>
                <w:b/>
                <w:bCs/>
                <w:color w:val="000000"/>
                <w:szCs w:val="21"/>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eastAsia="仿宋_GB2312"/>
                <w:b/>
                <w:bCs/>
                <w:color w:val="000000"/>
                <w:szCs w:val="21"/>
              </w:rPr>
            </w:pPr>
            <w:r>
              <w:rPr>
                <w:rFonts w:eastAsia="仿宋_GB2312"/>
                <w:b/>
                <w:bCs/>
                <w:color w:val="000000"/>
                <w:szCs w:val="21"/>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eastAsia="仿宋_GB2312"/>
                <w:color w:val="000000"/>
                <w:szCs w:val="21"/>
              </w:rPr>
            </w:pPr>
            <w:r>
              <w:rPr>
                <w:rFonts w:eastAsia="仿宋_GB2312"/>
                <w:color w:val="000000"/>
                <w:szCs w:val="21"/>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eastAsia="仿宋_GB2312"/>
                <w:color w:val="000000"/>
                <w:szCs w:val="21"/>
              </w:rPr>
            </w:pPr>
            <w:r>
              <w:rPr>
                <w:rFonts w:eastAsia="仿宋_GB2312"/>
                <w:color w:val="000000"/>
                <w:szCs w:val="21"/>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eastAsia="仿宋_GB2312"/>
                <w:color w:val="000000"/>
                <w:szCs w:val="21"/>
              </w:rPr>
            </w:pPr>
            <w:r>
              <w:rPr>
                <w:rFonts w:hint="eastAsia" w:eastAsia="仿宋_GB2312"/>
                <w:color w:val="000000"/>
                <w:szCs w:val="21"/>
              </w:rPr>
              <w:t>2</w:t>
            </w:r>
            <w:r>
              <w:rPr>
                <w:rFonts w:eastAsia="仿宋_GB2312"/>
                <w:color w:val="000000"/>
                <w:szCs w:val="21"/>
              </w:rPr>
              <w:t>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eastAsia="仿宋_GB2312"/>
                <w:color w:val="000000"/>
                <w:szCs w:val="21"/>
              </w:rPr>
            </w:pPr>
            <w:r>
              <w:rPr>
                <w:rFonts w:eastAsia="仿宋_GB2312"/>
                <w:color w:val="000000"/>
                <w:szCs w:val="21"/>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eastAsia="仿宋_GB2312"/>
                <w:color w:val="000000"/>
                <w:szCs w:val="21"/>
              </w:rPr>
            </w:pPr>
            <w:r>
              <w:rPr>
                <w:rFonts w:eastAsia="仿宋_GB2312"/>
                <w:color w:val="000000"/>
                <w:szCs w:val="21"/>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eastAsia="仿宋_GB2312"/>
                <w:color w:val="000000"/>
                <w:szCs w:val="21"/>
              </w:rPr>
            </w:pPr>
            <w:r>
              <w:rPr>
                <w:rFonts w:hint="eastAsia" w:eastAsia="仿宋_GB2312"/>
                <w:color w:val="000000"/>
                <w:szCs w:val="21"/>
              </w:rPr>
              <w:t>2</w:t>
            </w:r>
            <w:r>
              <w:rPr>
                <w:rFonts w:eastAsia="仿宋_GB2312"/>
                <w:color w:val="000000"/>
                <w:szCs w:val="21"/>
              </w:rPr>
              <w:t>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eastAsia="仿宋_GB2312"/>
                <w:color w:val="000000"/>
                <w:szCs w:val="21"/>
              </w:rPr>
            </w:pPr>
            <w:r>
              <w:rPr>
                <w:rFonts w:eastAsia="仿宋_GB2312"/>
                <w:color w:val="000000"/>
                <w:szCs w:val="21"/>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eastAsia="仿宋_GB2312"/>
                <w:color w:val="000000"/>
                <w:szCs w:val="21"/>
              </w:rPr>
            </w:pPr>
            <w:r>
              <w:rPr>
                <w:rFonts w:eastAsia="仿宋_GB2312"/>
                <w:color w:val="000000"/>
                <w:szCs w:val="21"/>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eastAsia="仿宋_GB2312"/>
                <w:color w:val="000000"/>
                <w:szCs w:val="21"/>
              </w:rPr>
            </w:pPr>
            <w:r>
              <w:rPr>
                <w:rFonts w:eastAsia="仿宋_GB2312"/>
                <w:color w:val="000000"/>
                <w:szCs w:val="21"/>
              </w:rPr>
              <w:t>34.05</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eastAsia="仿宋_GB2312"/>
                <w:color w:val="000000"/>
                <w:szCs w:val="21"/>
              </w:rPr>
            </w:pPr>
            <w:r>
              <w:rPr>
                <w:rFonts w:eastAsia="仿宋_GB2312"/>
                <w:color w:val="000000"/>
                <w:szCs w:val="21"/>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eastAsia="仿宋_GB2312"/>
                <w:color w:val="000000"/>
                <w:szCs w:val="21"/>
              </w:rPr>
            </w:pPr>
            <w:r>
              <w:rPr>
                <w:rFonts w:eastAsia="仿宋_GB2312"/>
                <w:color w:val="000000"/>
                <w:szCs w:val="21"/>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eastAsia="仿宋_GB2312"/>
                <w:color w:val="000000"/>
                <w:szCs w:val="21"/>
              </w:rPr>
            </w:pPr>
            <w:r>
              <w:rPr>
                <w:rFonts w:eastAsia="仿宋_GB2312"/>
                <w:color w:val="000000"/>
                <w:szCs w:val="21"/>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eastAsia="仿宋_GB2312"/>
                <w:b/>
                <w:bCs/>
                <w:color w:val="000000"/>
                <w:szCs w:val="21"/>
              </w:rPr>
            </w:pPr>
            <w:r>
              <w:rPr>
                <w:rFonts w:eastAsia="仿宋_GB2312"/>
                <w:b/>
                <w:bCs/>
                <w:color w:val="000000"/>
                <w:szCs w:val="21"/>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eastAsia="仿宋_GB2312"/>
                <w:b/>
                <w:bCs/>
                <w:color w:val="000000"/>
                <w:szCs w:val="21"/>
              </w:rPr>
            </w:pPr>
            <w:r>
              <w:rPr>
                <w:rFonts w:eastAsia="仿宋_GB2312"/>
                <w:b/>
                <w:bCs/>
                <w:color w:val="000000"/>
                <w:szCs w:val="21"/>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eastAsia="仿宋_GB2312"/>
                <w:b/>
                <w:bCs/>
                <w:color w:val="000000"/>
                <w:szCs w:val="21"/>
              </w:rPr>
            </w:pPr>
            <w:r>
              <w:rPr>
                <w:rFonts w:eastAsia="仿宋_GB2312"/>
                <w:b/>
                <w:bCs/>
                <w:color w:val="000000"/>
                <w:szCs w:val="21"/>
              </w:rPr>
              <w:t>94.05</w:t>
            </w:r>
          </w:p>
        </w:tc>
      </w:tr>
    </w:tbl>
    <w:p>
      <w:pPr>
        <w:spacing w:line="560" w:lineRule="exact"/>
        <w:ind w:firstLine="640" w:firstLineChars="200"/>
        <w:rPr>
          <w:rFonts w:eastAsia="黑体"/>
          <w:sz w:val="32"/>
          <w:szCs w:val="32"/>
        </w:rPr>
      </w:pPr>
      <w:r>
        <w:rPr>
          <w:rFonts w:eastAsia="黑体"/>
          <w:sz w:val="32"/>
          <w:szCs w:val="32"/>
        </w:rPr>
        <w:t>四、绩效评价指标分析</w:t>
      </w:r>
    </w:p>
    <w:p>
      <w:pPr>
        <w:pStyle w:val="10"/>
        <w:spacing w:before="0" w:after="0" w:line="560" w:lineRule="exact"/>
        <w:ind w:firstLine="640" w:firstLineChars="200"/>
        <w:jc w:val="both"/>
        <w:rPr>
          <w:rFonts w:ascii="Times New Roman" w:hAnsi="Times New Roman" w:eastAsia="楷体_GB2312"/>
          <w:b w:val="0"/>
          <w:bCs w:val="0"/>
        </w:rPr>
      </w:pPr>
      <w:r>
        <w:rPr>
          <w:rFonts w:ascii="Times New Roman" w:hAnsi="Times New Roman" w:eastAsia="楷体_GB2312"/>
          <w:b w:val="0"/>
          <w:bCs w:val="0"/>
        </w:rPr>
        <w:t>（一）项目决策情况</w:t>
      </w:r>
    </w:p>
    <w:p>
      <w:pPr>
        <w:pStyle w:val="9"/>
        <w:widowControl/>
        <w:spacing w:beforeAutospacing="0" w:afterAutospacing="0" w:line="560" w:lineRule="exact"/>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项目决策类指标包括项目立项、绩效目标和资金投入三方面的内容，由6个三级指标构成，权重分值为20分，实际得分20分，得分率为100%。</w:t>
      </w:r>
    </w:p>
    <w:p>
      <w:pPr>
        <w:pStyle w:val="9"/>
        <w:widowControl/>
        <w:spacing w:beforeAutospacing="0" w:afterAutospacing="0" w:line="560" w:lineRule="exact"/>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1.项目立项</w:t>
      </w:r>
    </w:p>
    <w:p>
      <w:pPr>
        <w:pStyle w:val="9"/>
        <w:widowControl/>
        <w:spacing w:beforeAutospacing="0" w:afterAutospacing="0" w:line="560" w:lineRule="exact"/>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（1）立项依据充分性</w:t>
      </w:r>
    </w:p>
    <w:p>
      <w:pPr>
        <w:pStyle w:val="9"/>
        <w:widowControl/>
        <w:spacing w:beforeAutospacing="0" w:afterAutospacing="0" w:line="560" w:lineRule="exact"/>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pStyle w:val="9"/>
        <w:widowControl/>
        <w:spacing w:beforeAutospacing="0" w:afterAutospacing="0" w:line="560" w:lineRule="exact"/>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（2）立项程序规范性</w:t>
      </w:r>
    </w:p>
    <w:p>
      <w:pPr>
        <w:pStyle w:val="9"/>
        <w:widowControl/>
        <w:spacing w:beforeAutospacing="0" w:afterAutospacing="0" w:line="560" w:lineRule="exact"/>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项目申请、设立过程符合相关要求，</w:t>
      </w:r>
      <w:r>
        <w:rPr>
          <w:rFonts w:hint="eastAsia" w:ascii="仿宋_GB2312" w:hAnsi="仿宋_GB2312" w:eastAsia="仿宋_GB2312" w:cs="仿宋_GB2312"/>
          <w:b w:val="0"/>
          <w:bCs w:val="0"/>
          <w:kern w:val="2"/>
          <w:sz w:val="32"/>
          <w:szCs w:val="32"/>
          <w:lang w:val="en-US" w:eastAsia="zh-Hans" w:bidi="ar-SA"/>
        </w:rPr>
        <w:t>严格按照审批流程准备符合要求的文件、材料；</w:t>
      </w:r>
      <w:r>
        <w:rPr>
          <w:rFonts w:hint="eastAsia" w:ascii="仿宋_GB2312" w:hAnsi="仿宋_GB2312" w:eastAsia="仿宋_GB2312" w:cs="仿宋_GB2312"/>
          <w:b w:val="0"/>
          <w:bCs w:val="0"/>
          <w:kern w:val="2"/>
          <w:sz w:val="32"/>
          <w:szCs w:val="32"/>
          <w:lang w:val="en-US" w:eastAsia="zh-CN" w:bidi="ar-SA"/>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9"/>
        <w:widowControl/>
        <w:spacing w:beforeAutospacing="0" w:afterAutospacing="0" w:line="560" w:lineRule="exact"/>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2.绩效目标</w:t>
      </w:r>
    </w:p>
    <w:p>
      <w:pPr>
        <w:pStyle w:val="9"/>
        <w:widowControl/>
        <w:spacing w:beforeAutospacing="0" w:afterAutospacing="0" w:line="560" w:lineRule="exact"/>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（1）绩效目标合理性</w:t>
      </w:r>
    </w:p>
    <w:p>
      <w:pPr>
        <w:pStyle w:val="9"/>
        <w:widowControl/>
        <w:spacing w:beforeAutospacing="0" w:afterAutospacing="0" w:line="560" w:lineRule="exact"/>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Hans" w:bidi="ar-SA"/>
        </w:rPr>
        <w:t>年初结合实际工作内容</w:t>
      </w:r>
      <w:r>
        <w:rPr>
          <w:rFonts w:hint="eastAsia" w:ascii="仿宋_GB2312" w:hAnsi="仿宋_GB2312" w:eastAsia="仿宋_GB2312" w:cs="仿宋_GB2312"/>
          <w:b w:val="0"/>
          <w:bCs w:val="0"/>
          <w:kern w:val="2"/>
          <w:sz w:val="32"/>
          <w:szCs w:val="32"/>
          <w:lang w:val="en-US" w:eastAsia="zh-CN" w:bidi="ar-SA"/>
        </w:rPr>
        <w:t>设定绩效目标</w:t>
      </w:r>
      <w:r>
        <w:rPr>
          <w:rFonts w:hint="eastAsia" w:ascii="仿宋_GB2312" w:hAnsi="仿宋_GB2312" w:eastAsia="仿宋_GB2312" w:cs="仿宋_GB2312"/>
          <w:b w:val="0"/>
          <w:bCs w:val="0"/>
          <w:kern w:val="2"/>
          <w:sz w:val="32"/>
          <w:szCs w:val="32"/>
          <w:lang w:val="en-US" w:eastAsia="zh-Hans" w:bidi="ar-SA"/>
        </w:rPr>
        <w:t>，绩效目标</w:t>
      </w:r>
      <w:r>
        <w:rPr>
          <w:rFonts w:hint="eastAsia" w:ascii="仿宋_GB2312" w:hAnsi="仿宋_GB2312" w:eastAsia="仿宋_GB2312" w:cs="仿宋_GB2312"/>
          <w:b w:val="0"/>
          <w:bCs w:val="0"/>
          <w:kern w:val="2"/>
          <w:sz w:val="32"/>
          <w:szCs w:val="32"/>
          <w:lang w:val="en-US" w:eastAsia="zh-CN" w:bidi="ar-SA"/>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pStyle w:val="9"/>
        <w:widowControl/>
        <w:spacing w:beforeAutospacing="0" w:afterAutospacing="0" w:line="560" w:lineRule="exact"/>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（2）绩效指标明确性</w:t>
      </w:r>
    </w:p>
    <w:p>
      <w:pPr>
        <w:pStyle w:val="9"/>
        <w:widowControl/>
        <w:spacing w:beforeAutospacing="0" w:afterAutospacing="0" w:line="560" w:lineRule="exact"/>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项目设置了明确的预期产出效益和效果，将绩效目标细化分解为具体的绩效指标，绩效目标与项目目标任务数相对应，绩效目标设定的绩效指标清晰、细化、可衡量。</w:t>
      </w:r>
    </w:p>
    <w:p>
      <w:pPr>
        <w:pStyle w:val="9"/>
        <w:widowControl/>
        <w:spacing w:beforeAutospacing="0" w:afterAutospacing="0" w:line="560" w:lineRule="exact"/>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3.资金投入</w:t>
      </w:r>
    </w:p>
    <w:p>
      <w:pPr>
        <w:pStyle w:val="9"/>
        <w:widowControl/>
        <w:spacing w:beforeAutospacing="0" w:afterAutospacing="0" w:line="560" w:lineRule="exact"/>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（1）预算编制科学性</w:t>
      </w:r>
    </w:p>
    <w:p>
      <w:pPr>
        <w:pStyle w:val="9"/>
        <w:widowControl/>
        <w:spacing w:beforeAutospacing="0" w:afterAutospacing="0" w:line="560" w:lineRule="exact"/>
        <w:ind w:firstLine="640" w:firstLineChars="200"/>
        <w:rPr>
          <w:rFonts w:eastAsia="仿宋_GB2312"/>
          <w:sz w:val="32"/>
          <w:szCs w:val="32"/>
        </w:rPr>
      </w:pPr>
      <w:r>
        <w:rPr>
          <w:rFonts w:hint="eastAsia" w:ascii="仿宋_GB2312" w:hAnsi="仿宋_GB2312" w:eastAsia="仿宋_GB2312" w:cs="仿宋_GB2312"/>
          <w:b w:val="0"/>
          <w:bCs w:val="0"/>
          <w:kern w:val="2"/>
          <w:sz w:val="32"/>
          <w:szCs w:val="32"/>
          <w:lang w:val="en-US" w:eastAsia="zh-CN" w:bidi="ar-SA"/>
        </w:rPr>
        <w:t>本项目的预算编制</w:t>
      </w:r>
      <w:r>
        <w:rPr>
          <w:rFonts w:eastAsia="仿宋_GB2312"/>
          <w:sz w:val="32"/>
          <w:szCs w:val="32"/>
        </w:rPr>
        <w:t>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pacing w:line="600" w:lineRule="exact"/>
        <w:ind w:firstLine="640" w:firstLineChars="200"/>
        <w:outlineLvl w:val="0"/>
        <w:rPr>
          <w:rFonts w:eastAsia="仿宋_GB2312"/>
          <w:sz w:val="32"/>
          <w:szCs w:val="32"/>
        </w:rPr>
      </w:pPr>
      <w:r>
        <w:rPr>
          <w:rFonts w:eastAsia="仿宋_GB2312"/>
          <w:sz w:val="32"/>
          <w:szCs w:val="32"/>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pStyle w:val="9"/>
        <w:widowControl/>
        <w:spacing w:beforeAutospacing="0" w:afterAutospacing="0" w:line="560" w:lineRule="exact"/>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（2）资金分配合理性</w:t>
      </w:r>
    </w:p>
    <w:p>
      <w:pPr>
        <w:spacing w:line="560" w:lineRule="exact"/>
        <w:ind w:firstLine="640" w:firstLineChars="200"/>
        <w:rPr>
          <w:rFonts w:eastAsia="仿宋_GB2312"/>
          <w:sz w:val="32"/>
          <w:szCs w:val="32"/>
        </w:rPr>
      </w:pPr>
      <w:r>
        <w:rPr>
          <w:rFonts w:eastAsia="仿宋_GB2312"/>
          <w:sz w:val="32"/>
          <w:szCs w:val="32"/>
        </w:rPr>
        <w:t>本项目的资金分配遵循了公平、公正、透明的原则，确保了项目资源的合理配置与高效利用。在资金分配过程中，我们充分考虑了项目的实际需求与目标，对不同阶段、不同任务的资金进行了科学的规划与安排。</w:t>
      </w:r>
    </w:p>
    <w:p>
      <w:pPr>
        <w:spacing w:line="560" w:lineRule="exact"/>
        <w:ind w:firstLine="640" w:firstLineChars="200"/>
        <w:rPr>
          <w:rFonts w:eastAsia="仿宋_GB2312"/>
          <w:sz w:val="32"/>
          <w:szCs w:val="32"/>
        </w:rPr>
      </w:pPr>
      <w:r>
        <w:rPr>
          <w:rFonts w:eastAsia="仿宋_GB2312"/>
          <w:sz w:val="32"/>
          <w:szCs w:val="32"/>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spacing w:line="560" w:lineRule="exact"/>
        <w:ind w:firstLine="640" w:firstLineChars="200"/>
        <w:rPr>
          <w:rFonts w:eastAsia="仿宋_GB2312"/>
          <w:sz w:val="32"/>
          <w:szCs w:val="32"/>
        </w:rPr>
      </w:pPr>
      <w:r>
        <w:rPr>
          <w:rFonts w:eastAsia="仿宋_GB2312"/>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10"/>
        <w:numPr>
          <w:ilvl w:val="0"/>
          <w:numId w:val="3"/>
        </w:numPr>
        <w:spacing w:before="0" w:after="0" w:line="560" w:lineRule="exact"/>
        <w:ind w:firstLine="642" w:firstLineChars="200"/>
        <w:jc w:val="both"/>
        <w:rPr>
          <w:rFonts w:ascii="Times New Roman" w:hAnsi="Times New Roman" w:eastAsia="楷体"/>
        </w:rPr>
      </w:pPr>
      <w:r>
        <w:rPr>
          <w:rFonts w:ascii="Times New Roman" w:hAnsi="Times New Roman" w:eastAsia="楷体"/>
        </w:rPr>
        <w:t>项目过程情况</w:t>
      </w:r>
    </w:p>
    <w:p>
      <w:pPr>
        <w:pStyle w:val="9"/>
        <w:widowControl/>
        <w:spacing w:beforeAutospacing="0" w:afterAutospacing="0" w:line="560" w:lineRule="exact"/>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项目过程类指标包括资金管理和组织实施两方面的内容，由5个三级指标构成，权重分值为20分，实际得分20分，得分率为100%。</w:t>
      </w:r>
    </w:p>
    <w:p>
      <w:pPr>
        <w:pStyle w:val="9"/>
        <w:widowControl/>
        <w:spacing w:beforeAutospacing="0" w:afterAutospacing="0" w:line="560" w:lineRule="exact"/>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1.资金管理</w:t>
      </w:r>
    </w:p>
    <w:p>
      <w:pPr>
        <w:pStyle w:val="9"/>
        <w:widowControl/>
        <w:spacing w:beforeAutospacing="0" w:afterAutospacing="0" w:line="560" w:lineRule="exact"/>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（1）资金到位率</w:t>
      </w:r>
    </w:p>
    <w:p>
      <w:pPr>
        <w:pStyle w:val="9"/>
        <w:widowControl/>
        <w:spacing w:beforeAutospacing="0" w:afterAutospacing="0" w:line="560" w:lineRule="exact"/>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本项目总投资620万元，财政资金及时足额到位，到位率100%，预算资金按计划进度执行。</w:t>
      </w:r>
    </w:p>
    <w:p>
      <w:pPr>
        <w:pStyle w:val="9"/>
        <w:widowControl/>
        <w:spacing w:beforeAutospacing="0" w:afterAutospacing="0" w:line="560" w:lineRule="exact"/>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（2）预算执行率</w:t>
      </w:r>
    </w:p>
    <w:p>
      <w:pPr>
        <w:pStyle w:val="9"/>
        <w:widowControl/>
        <w:spacing w:beforeAutospacing="0" w:afterAutospacing="0" w:line="560" w:lineRule="exact"/>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预算编制较为详细，项目资金支出总体能够按照预算执行，预算资金支出620万元，预算执行率为100%。</w:t>
      </w:r>
    </w:p>
    <w:p>
      <w:pPr>
        <w:pStyle w:val="9"/>
        <w:widowControl/>
        <w:spacing w:beforeAutospacing="0" w:afterAutospacing="0" w:line="560" w:lineRule="exact"/>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（3）资金使用合规性</w:t>
      </w:r>
    </w:p>
    <w:p>
      <w:pPr>
        <w:pStyle w:val="9"/>
        <w:widowControl/>
        <w:spacing w:beforeAutospacing="0" w:afterAutospacing="0" w:line="560" w:lineRule="exact"/>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本项目的资金使用严格遵循了国家相关法律法规与财务制度，确保了资金的合规性与安全性。在资金使用过程中，我们建立了完善的财务管理体系，对资金的流动进行了全程监控与记录。</w:t>
      </w:r>
    </w:p>
    <w:p>
      <w:pPr>
        <w:pStyle w:val="9"/>
        <w:widowControl/>
        <w:spacing w:beforeAutospacing="0" w:afterAutospacing="0" w:line="560" w:lineRule="exact"/>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spacing w:line="560" w:lineRule="exact"/>
        <w:ind w:firstLine="640" w:firstLineChars="200"/>
        <w:rPr>
          <w:rFonts w:eastAsia="仿宋_GB2312"/>
          <w:sz w:val="32"/>
          <w:szCs w:val="32"/>
        </w:rPr>
      </w:pPr>
      <w:r>
        <w:rPr>
          <w:rFonts w:eastAsia="仿宋_GB2312"/>
          <w:sz w:val="32"/>
          <w:szCs w:val="32"/>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9"/>
        <w:widowControl/>
        <w:spacing w:beforeAutospacing="0" w:afterAutospacing="0" w:line="560" w:lineRule="exact"/>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2.组织实施</w:t>
      </w:r>
    </w:p>
    <w:p>
      <w:pPr>
        <w:pStyle w:val="9"/>
        <w:widowControl/>
        <w:spacing w:beforeAutospacing="0" w:afterAutospacing="0" w:line="560" w:lineRule="exact"/>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（1）管理制度健全性</w:t>
      </w:r>
    </w:p>
    <w:p>
      <w:pPr>
        <w:spacing w:line="560" w:lineRule="exact"/>
        <w:ind w:firstLine="640" w:firstLineChars="200"/>
        <w:rPr>
          <w:rFonts w:eastAsia="仿宋_GB2312"/>
          <w:sz w:val="32"/>
          <w:szCs w:val="32"/>
        </w:rPr>
      </w:pPr>
      <w:r>
        <w:rPr>
          <w:rFonts w:eastAsia="仿宋_GB2312"/>
          <w:sz w:val="32"/>
          <w:szCs w:val="32"/>
        </w:rPr>
        <w:t>本项目拥有一套完善、健全的管理制度体系，为项目的成功实施提供了坚实的制度保障。项目管理制度的制定紧密结合了项目的特点与实际情况，涵盖了项目的策划、组织、实施、监控与收尾等各个环节。</w:t>
      </w:r>
    </w:p>
    <w:p>
      <w:pPr>
        <w:spacing w:line="560" w:lineRule="exact"/>
        <w:ind w:firstLine="640" w:firstLineChars="200"/>
        <w:rPr>
          <w:rFonts w:eastAsia="仿宋_GB2312"/>
          <w:sz w:val="32"/>
          <w:szCs w:val="32"/>
        </w:rPr>
      </w:pPr>
      <w:r>
        <w:rPr>
          <w:rFonts w:eastAsia="仿宋_GB2312"/>
          <w:sz w:val="32"/>
          <w:szCs w:val="32"/>
        </w:rPr>
        <w:t>在制度设计上，我们注重了制度的科学性与可操作性，确保制度能够切实指导项目的执行与管理。</w:t>
      </w:r>
    </w:p>
    <w:p>
      <w:pPr>
        <w:spacing w:line="560" w:lineRule="exact"/>
        <w:ind w:firstLine="640" w:firstLineChars="200"/>
        <w:rPr>
          <w:rFonts w:eastAsia="仿宋_GB2312"/>
          <w:sz w:val="32"/>
          <w:szCs w:val="32"/>
        </w:rPr>
      </w:pPr>
      <w:r>
        <w:rPr>
          <w:rFonts w:eastAsia="仿宋_GB2312"/>
          <w:sz w:val="32"/>
          <w:szCs w:val="32"/>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pacing w:line="600" w:lineRule="exact"/>
        <w:ind w:firstLine="640" w:firstLineChars="200"/>
        <w:outlineLvl w:val="0"/>
        <w:rPr>
          <w:rFonts w:eastAsia="仿宋_GB2312"/>
          <w:sz w:val="32"/>
          <w:szCs w:val="32"/>
        </w:rPr>
      </w:pPr>
      <w:r>
        <w:rPr>
          <w:rFonts w:eastAsia="仿宋_GB2312"/>
          <w:sz w:val="32"/>
          <w:szCs w:val="32"/>
        </w:rPr>
        <w:t>综上所述，本项目的管理制度是健全的、有效的，既符合项目的实际情况，又满足了项目管理的需要。管理制度的健全性为项目的成功实施提供了有力的保障，也为项目的绩效评价奠定了坚实的基础。</w:t>
      </w:r>
    </w:p>
    <w:p>
      <w:pPr>
        <w:pStyle w:val="9"/>
        <w:widowControl/>
        <w:spacing w:beforeAutospacing="0" w:afterAutospacing="0" w:line="560" w:lineRule="exact"/>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（2）制度执行有效性</w:t>
      </w:r>
    </w:p>
    <w:p>
      <w:pPr>
        <w:spacing w:line="560" w:lineRule="exact"/>
        <w:ind w:firstLine="640" w:firstLineChars="200"/>
        <w:rPr>
          <w:rFonts w:eastAsia="仿宋_GB2312"/>
          <w:sz w:val="32"/>
          <w:szCs w:val="32"/>
        </w:rPr>
      </w:pPr>
      <w:r>
        <w:rPr>
          <w:rFonts w:eastAsia="仿宋_GB2312"/>
          <w:sz w:val="32"/>
          <w:szCs w:val="32"/>
        </w:rPr>
        <w:t>本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p>
    <w:p>
      <w:pPr>
        <w:spacing w:line="560" w:lineRule="exact"/>
        <w:ind w:firstLine="640" w:firstLineChars="200"/>
        <w:rPr>
          <w:rFonts w:eastAsia="仿宋_GB2312"/>
          <w:sz w:val="32"/>
          <w:szCs w:val="32"/>
        </w:rPr>
      </w:pPr>
      <w:r>
        <w:rPr>
          <w:rFonts w:eastAsia="仿宋_GB2312"/>
          <w:sz w:val="32"/>
          <w:szCs w:val="32"/>
        </w:rPr>
        <w:t>在具体执行过程中，项目团队成员严格按照制度要求进行操作。同时，我们还建立了有效的沟通机制与反馈机制，确保项目信息的及时传递与问题的及时解决，进一步提高了制度执行的效率与效果。</w:t>
      </w:r>
    </w:p>
    <w:p>
      <w:pPr>
        <w:spacing w:line="560" w:lineRule="exact"/>
        <w:ind w:firstLine="640" w:firstLineChars="200"/>
        <w:rPr>
          <w:rFonts w:eastAsia="仿宋_GB2312"/>
          <w:sz w:val="32"/>
          <w:szCs w:val="32"/>
        </w:rPr>
      </w:pPr>
      <w:r>
        <w:rPr>
          <w:rFonts w:eastAsia="仿宋_GB2312"/>
          <w:sz w:val="32"/>
          <w:szCs w:val="32"/>
        </w:rPr>
        <w:t>综上所述，本项目的管理制度在执行过程中表现出了高度的有效性，既确保了项目的顺利进行，又实现了项目目标的有效达成。</w:t>
      </w:r>
    </w:p>
    <w:p>
      <w:pPr>
        <w:pStyle w:val="12"/>
        <w:numPr>
          <w:ilvl w:val="0"/>
          <w:numId w:val="3"/>
        </w:numPr>
        <w:spacing w:line="560" w:lineRule="exact"/>
        <w:ind w:firstLine="643"/>
        <w:rPr>
          <w:rFonts w:eastAsia="楷体_GB2312"/>
          <w:b w:val="0"/>
          <w:bCs w:val="0"/>
          <w:sz w:val="32"/>
          <w:szCs w:val="32"/>
        </w:rPr>
      </w:pPr>
      <w:r>
        <w:rPr>
          <w:rFonts w:eastAsia="楷体_GB2312"/>
          <w:b w:val="0"/>
          <w:bCs w:val="0"/>
          <w:sz w:val="32"/>
          <w:szCs w:val="32"/>
        </w:rPr>
        <w:t>项目产出情况</w:t>
      </w:r>
    </w:p>
    <w:p>
      <w:pPr>
        <w:spacing w:line="600" w:lineRule="exact"/>
        <w:ind w:firstLine="640" w:firstLineChars="200"/>
        <w:outlineLvl w:val="0"/>
        <w:rPr>
          <w:rFonts w:hint="eastAsia" w:ascii="仿宋_GB2312" w:hAnsi="仿宋_GB2312" w:eastAsia="仿宋_GB2312" w:cs="仿宋_GB2312"/>
          <w:b w:val="0"/>
          <w:bCs w:val="0"/>
          <w:kern w:val="2"/>
          <w:sz w:val="32"/>
          <w:szCs w:val="32"/>
          <w:lang w:val="en-US" w:eastAsia="zh-CN" w:bidi="ar-SA"/>
        </w:rPr>
      </w:pPr>
      <w:r>
        <w:rPr>
          <w:rFonts w:eastAsia="仿宋_GB2312"/>
          <w:sz w:val="32"/>
          <w:szCs w:val="32"/>
        </w:rPr>
        <w:t>项目产出类指标包括产出数量、产出质量、产出时效、产</w:t>
      </w:r>
      <w:r>
        <w:rPr>
          <w:rFonts w:hint="eastAsia" w:ascii="仿宋_GB2312" w:hAnsi="仿宋_GB2312" w:eastAsia="仿宋_GB2312" w:cs="仿宋_GB2312"/>
          <w:b w:val="0"/>
          <w:bCs w:val="0"/>
          <w:kern w:val="2"/>
          <w:sz w:val="32"/>
          <w:szCs w:val="32"/>
          <w:lang w:val="en-US" w:eastAsia="zh-CN" w:bidi="ar-SA"/>
        </w:rPr>
        <w:t>出成本四方面的内容，由4个三级指标构成，权重分为40分，实际得分34.95分，得分率为85.125%。具体产出指标完成情况如下：</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1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①</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数量指标：</w:t>
      </w:r>
    </w:p>
    <w:p>
      <w:pPr>
        <w:spacing w:line="600" w:lineRule="exact"/>
        <w:ind w:firstLine="640" w:firstLineChars="200"/>
        <w:outlineLvl w:val="0"/>
        <w:rPr>
          <w:rFonts w:ascii="仿宋_GB2312" w:hAnsi="仿宋_GB2312" w:eastAsia="仿宋_GB2312" w:cs="仿宋_GB2312"/>
          <w:color w:val="FF0000"/>
          <w:sz w:val="32"/>
          <w:szCs w:val="32"/>
        </w:rPr>
      </w:pPr>
      <w:r>
        <w:rPr>
          <w:rFonts w:hint="eastAsia" w:ascii="仿宋_GB2312" w:hAnsi="仿宋_GB2312" w:eastAsia="仿宋_GB2312" w:cs="仿宋_GB2312"/>
          <w:sz w:val="32"/>
          <w:szCs w:val="32"/>
        </w:rPr>
        <w:t>指标1：场馆运行面积，指标值：</w:t>
      </w:r>
      <w:r>
        <w:rPr>
          <w:rFonts w:ascii="仿宋_GB2312" w:hAnsi="仿宋_GB2312" w:eastAsia="仿宋_GB2312" w:cs="仿宋_GB2312"/>
          <w:sz w:val="32"/>
          <w:szCs w:val="32"/>
        </w:rPr>
        <w:t>56000平方米</w:t>
      </w:r>
      <w:r>
        <w:rPr>
          <w:rFonts w:hint="eastAsia" w:ascii="仿宋_GB2312" w:hAnsi="仿宋_GB2312" w:eastAsia="仿宋_GB2312" w:cs="仿宋_GB2312"/>
          <w:sz w:val="32"/>
          <w:szCs w:val="32"/>
        </w:rPr>
        <w:t>，实际完成值：=</w:t>
      </w:r>
      <w:r>
        <w:rPr>
          <w:rFonts w:ascii="仿宋_GB2312" w:hAnsi="仿宋_GB2312" w:eastAsia="仿宋_GB2312" w:cs="仿宋_GB2312"/>
          <w:sz w:val="32"/>
          <w:szCs w:val="32"/>
        </w:rPr>
        <w:t>56000平方米</w:t>
      </w:r>
      <w:r>
        <w:rPr>
          <w:rFonts w:hint="eastAsia" w:ascii="仿宋_GB2312" w:hAnsi="仿宋_GB2312" w:eastAsia="仿宋_GB2312" w:cs="仿宋_GB2312"/>
          <w:sz w:val="32"/>
          <w:szCs w:val="32"/>
        </w:rPr>
        <w:t>，指标完成率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p>
    <w:p>
      <w:pPr>
        <w:spacing w:line="600" w:lineRule="exact"/>
        <w:ind w:firstLine="640" w:firstLineChars="200"/>
        <w:outlineLvl w:val="0"/>
        <w:rPr>
          <w:rFonts w:ascii="仿宋_GB2312" w:hAnsi="仿宋_GB2312" w:eastAsia="仿宋_GB2312" w:cs="仿宋_GB2312"/>
          <w:color w:val="FF0000"/>
          <w:sz w:val="32"/>
          <w:szCs w:val="32"/>
        </w:rPr>
      </w:pPr>
      <w:r>
        <w:rPr>
          <w:rFonts w:hint="eastAsia" w:ascii="仿宋_GB2312" w:hAnsi="仿宋_GB2312" w:eastAsia="仿宋_GB2312" w:cs="仿宋_GB2312"/>
          <w:sz w:val="32"/>
          <w:szCs w:val="32"/>
        </w:rPr>
        <w:t>指标2：图书馆流通人次，指标值：≥</w:t>
      </w:r>
      <w:r>
        <w:rPr>
          <w:rFonts w:ascii="仿宋_GB2312" w:hAnsi="仿宋_GB2312" w:eastAsia="仿宋_GB2312" w:cs="仿宋_GB2312"/>
          <w:sz w:val="32"/>
          <w:szCs w:val="32"/>
        </w:rPr>
        <w:t>50万</w:t>
      </w:r>
      <w:r>
        <w:rPr>
          <w:rFonts w:hint="eastAsia" w:ascii="仿宋_GB2312" w:hAnsi="仿宋_GB2312" w:eastAsia="仿宋_GB2312" w:cs="仿宋_GB2312"/>
          <w:sz w:val="32"/>
          <w:szCs w:val="32"/>
        </w:rPr>
        <w:t>，实际完成值：</w:t>
      </w:r>
      <w:r>
        <w:rPr>
          <w:rFonts w:ascii="仿宋_GB2312" w:hAnsi="仿宋_GB2312" w:eastAsia="仿宋_GB2312" w:cs="仿宋_GB2312"/>
          <w:sz w:val="32"/>
          <w:szCs w:val="32"/>
        </w:rPr>
        <w:t>131.2万</w:t>
      </w:r>
      <w:r>
        <w:rPr>
          <w:rFonts w:hint="eastAsia" w:ascii="仿宋_GB2312" w:hAnsi="仿宋_GB2312" w:eastAsia="仿宋_GB2312" w:cs="仿宋_GB2312"/>
          <w:sz w:val="32"/>
          <w:szCs w:val="32"/>
        </w:rPr>
        <w:t>，指标完成率</w:t>
      </w:r>
      <w:r>
        <w:rPr>
          <w:rFonts w:ascii="仿宋_GB2312" w:hAnsi="仿宋_GB2312" w:eastAsia="仿宋_GB2312" w:cs="仿宋_GB2312"/>
          <w:sz w:val="32"/>
          <w:szCs w:val="32"/>
        </w:rPr>
        <w:t>262</w:t>
      </w:r>
      <w:r>
        <w:rPr>
          <w:rFonts w:hint="eastAsia" w:ascii="仿宋_GB2312" w:hAnsi="仿宋_GB2312" w:eastAsia="仿宋_GB2312" w:cs="仿宋_GB2312"/>
          <w:sz w:val="32"/>
          <w:szCs w:val="32"/>
        </w:rPr>
        <w:t>%，偏差原因：流通人次有较大幅度提升主要有三方面原因，一是自2</w:t>
      </w:r>
      <w:r>
        <w:rPr>
          <w:rFonts w:ascii="仿宋_GB2312" w:hAnsi="仿宋_GB2312" w:eastAsia="仿宋_GB2312" w:cs="仿宋_GB2312"/>
          <w:sz w:val="32"/>
          <w:szCs w:val="32"/>
        </w:rPr>
        <w:t>024年</w:t>
      </w:r>
      <w:r>
        <w:rPr>
          <w:rFonts w:hint="eastAsia" w:ascii="仿宋_GB2312" w:hAnsi="仿宋_GB2312" w:eastAsia="仿宋_GB2312" w:cs="仿宋_GB2312"/>
          <w:sz w:val="32"/>
          <w:szCs w:val="32"/>
        </w:rPr>
        <w:t>7月1日起，扩大了场馆延时开放区域为一至二层，每天延长服务读者时间4小时；二是优化了场馆空间布局，增设自习室与专题阅览室，开架书刊总量有所增加；三是阅读活动更加丰富多样。</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：图书文献采购数量，指标值：≥</w:t>
      </w:r>
      <w:r>
        <w:rPr>
          <w:rFonts w:ascii="仿宋_GB2312" w:hAnsi="仿宋_GB2312" w:eastAsia="仿宋_GB2312" w:cs="仿宋_GB2312"/>
          <w:sz w:val="32"/>
          <w:szCs w:val="32"/>
        </w:rPr>
        <w:t>12000</w:t>
      </w:r>
      <w:r>
        <w:rPr>
          <w:rFonts w:hint="eastAsia" w:ascii="仿宋_GB2312" w:hAnsi="仿宋_GB2312" w:eastAsia="仿宋_GB2312" w:cs="仿宋_GB2312"/>
          <w:sz w:val="32"/>
          <w:szCs w:val="32"/>
        </w:rPr>
        <w:t>册，实际完成值：</w:t>
      </w:r>
      <w:r>
        <w:rPr>
          <w:rFonts w:ascii="仿宋_GB2312" w:hAnsi="仿宋_GB2312" w:eastAsia="仿宋_GB2312" w:cs="仿宋_GB2312"/>
          <w:sz w:val="32"/>
          <w:szCs w:val="32"/>
        </w:rPr>
        <w:t>14338册</w:t>
      </w:r>
      <w:r>
        <w:rPr>
          <w:rFonts w:hint="eastAsia" w:ascii="仿宋_GB2312" w:hAnsi="仿宋_GB2312" w:eastAsia="仿宋_GB2312" w:cs="仿宋_GB2312"/>
          <w:sz w:val="32"/>
          <w:szCs w:val="32"/>
        </w:rPr>
        <w:t>，指标完成率</w:t>
      </w:r>
      <w:r>
        <w:rPr>
          <w:rFonts w:ascii="仿宋_GB2312" w:hAnsi="仿宋_GB2312" w:eastAsia="仿宋_GB2312" w:cs="仿宋_GB2312"/>
          <w:sz w:val="32"/>
          <w:szCs w:val="32"/>
        </w:rPr>
        <w:t>119</w:t>
      </w:r>
      <w:r>
        <w:rPr>
          <w:rFonts w:hint="eastAsia" w:ascii="仿宋_GB2312" w:hAnsi="仿宋_GB2312" w:eastAsia="仿宋_GB2312" w:cs="仿宋_GB2312"/>
          <w:sz w:val="32"/>
          <w:szCs w:val="32"/>
        </w:rPr>
        <w:t>%。</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：全民阅读推广系列活动，指标值：≥</w:t>
      </w:r>
      <w:r>
        <w:rPr>
          <w:rFonts w:ascii="仿宋_GB2312" w:hAnsi="仿宋_GB2312" w:eastAsia="仿宋_GB2312" w:cs="仿宋_GB2312"/>
          <w:sz w:val="32"/>
          <w:szCs w:val="32"/>
        </w:rPr>
        <w:t xml:space="preserve"> 15场</w:t>
      </w:r>
      <w:r>
        <w:rPr>
          <w:rFonts w:hint="eastAsia" w:ascii="仿宋_GB2312" w:hAnsi="仿宋_GB2312" w:eastAsia="仿宋_GB2312" w:cs="仿宋_GB2312"/>
          <w:sz w:val="32"/>
          <w:szCs w:val="32"/>
        </w:rPr>
        <w:t>，实际完成值：</w:t>
      </w:r>
      <w:r>
        <w:rPr>
          <w:rFonts w:ascii="仿宋_GB2312" w:hAnsi="仿宋_GB2312" w:eastAsia="仿宋_GB2312" w:cs="仿宋_GB2312"/>
          <w:sz w:val="32"/>
          <w:szCs w:val="32"/>
        </w:rPr>
        <w:t>15</w:t>
      </w:r>
      <w:r>
        <w:rPr>
          <w:rFonts w:hint="eastAsia" w:ascii="仿宋_GB2312" w:hAnsi="仿宋_GB2312" w:eastAsia="仿宋_GB2312" w:cs="仿宋_GB2312"/>
          <w:sz w:val="32"/>
          <w:szCs w:val="32"/>
        </w:rPr>
        <w:t>，指标完成率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2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②</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质量指标：</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指标1：图书验收合格率，指标值：=</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%，实际完成值：</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%，指标完成率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指标2：图书馆正常运行率，指标值：=</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%，实际完成值：</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%，指标完成率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3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③</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时效指标：</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指标1：图书采购及时率，指标值：=</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%，实际完成值：</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%，指标完成率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指标2：活动按期完成率，指标值：=</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%，实际完成值：</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%，指标完成率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4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④</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成本指标：</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指标1：场馆运行成本，指标值：≤</w:t>
      </w:r>
      <w:r>
        <w:rPr>
          <w:rFonts w:ascii="仿宋_GB2312" w:hAnsi="仿宋_GB2312" w:eastAsia="仿宋_GB2312" w:cs="仿宋_GB2312"/>
          <w:sz w:val="32"/>
          <w:szCs w:val="32"/>
        </w:rPr>
        <w:t>100万元</w:t>
      </w:r>
      <w:r>
        <w:rPr>
          <w:rFonts w:hint="eastAsia" w:ascii="仿宋_GB2312" w:hAnsi="仿宋_GB2312" w:eastAsia="仿宋_GB2312" w:cs="仿宋_GB2312"/>
          <w:sz w:val="32"/>
          <w:szCs w:val="32"/>
        </w:rPr>
        <w:t>，实际完成值：1</w:t>
      </w:r>
      <w:r>
        <w:rPr>
          <w:rFonts w:ascii="仿宋_GB2312" w:hAnsi="仿宋_GB2312" w:eastAsia="仿宋_GB2312" w:cs="仿宋_GB2312"/>
          <w:sz w:val="32"/>
          <w:szCs w:val="32"/>
        </w:rPr>
        <w:t>00万元</w:t>
      </w:r>
      <w:r>
        <w:rPr>
          <w:rFonts w:hint="eastAsia" w:ascii="仿宋_GB2312" w:hAnsi="仿宋_GB2312" w:eastAsia="仿宋_GB2312" w:cs="仿宋_GB2312"/>
          <w:sz w:val="32"/>
          <w:szCs w:val="32"/>
        </w:rPr>
        <w:t>，指标完成率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：读者服务业务经费，指标值：≤</w:t>
      </w:r>
      <w:r>
        <w:rPr>
          <w:rFonts w:ascii="仿宋_GB2312" w:hAnsi="仿宋_GB2312" w:eastAsia="仿宋_GB2312" w:cs="仿宋_GB2312"/>
          <w:sz w:val="32"/>
          <w:szCs w:val="32"/>
        </w:rPr>
        <w:t>240万元</w:t>
      </w:r>
      <w:r>
        <w:rPr>
          <w:rFonts w:hint="eastAsia" w:ascii="仿宋_GB2312" w:hAnsi="仿宋_GB2312" w:eastAsia="仿宋_GB2312" w:cs="仿宋_GB2312"/>
          <w:sz w:val="32"/>
          <w:szCs w:val="32"/>
        </w:rPr>
        <w:t>，实际完成值：</w:t>
      </w:r>
      <w:r>
        <w:rPr>
          <w:rFonts w:ascii="仿宋_GB2312" w:hAnsi="仿宋_GB2312" w:eastAsia="仿宋_GB2312" w:cs="仿宋_GB2312"/>
          <w:sz w:val="32"/>
          <w:szCs w:val="32"/>
        </w:rPr>
        <w:t>240万元</w:t>
      </w:r>
      <w:r>
        <w:rPr>
          <w:rFonts w:hint="eastAsia" w:ascii="仿宋_GB2312" w:hAnsi="仿宋_GB2312" w:eastAsia="仿宋_GB2312" w:cs="仿宋_GB2312"/>
          <w:sz w:val="32"/>
          <w:szCs w:val="32"/>
        </w:rPr>
        <w:t>，指标完成率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：全民阅读推广系列活动经费，指标值：≤</w:t>
      </w:r>
      <w:r>
        <w:rPr>
          <w:rFonts w:ascii="仿宋_GB2312" w:hAnsi="仿宋_GB2312" w:eastAsia="仿宋_GB2312" w:cs="仿宋_GB2312"/>
          <w:sz w:val="32"/>
          <w:szCs w:val="32"/>
        </w:rPr>
        <w:t>120万元</w:t>
      </w:r>
      <w:r>
        <w:rPr>
          <w:rFonts w:hint="eastAsia" w:ascii="仿宋_GB2312" w:hAnsi="仿宋_GB2312" w:eastAsia="仿宋_GB2312" w:cs="仿宋_GB2312"/>
          <w:sz w:val="32"/>
          <w:szCs w:val="32"/>
        </w:rPr>
        <w:t>，实际完成值：</w:t>
      </w:r>
      <w:r>
        <w:rPr>
          <w:rFonts w:ascii="仿宋_GB2312" w:hAnsi="仿宋_GB2312" w:eastAsia="仿宋_GB2312" w:cs="仿宋_GB2312"/>
          <w:sz w:val="32"/>
          <w:szCs w:val="32"/>
        </w:rPr>
        <w:t>120万元</w:t>
      </w:r>
      <w:r>
        <w:rPr>
          <w:rFonts w:hint="eastAsia" w:ascii="仿宋_GB2312" w:hAnsi="仿宋_GB2312" w:eastAsia="仿宋_GB2312" w:cs="仿宋_GB2312"/>
          <w:sz w:val="32"/>
          <w:szCs w:val="32"/>
        </w:rPr>
        <w:t>，指标完成率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：图书文献采购，指标值：≤</w:t>
      </w:r>
      <w:r>
        <w:rPr>
          <w:rFonts w:ascii="仿宋_GB2312" w:hAnsi="仿宋_GB2312" w:eastAsia="仿宋_GB2312" w:cs="仿宋_GB2312"/>
          <w:sz w:val="32"/>
          <w:szCs w:val="32"/>
        </w:rPr>
        <w:t>160万元</w:t>
      </w:r>
      <w:r>
        <w:rPr>
          <w:rFonts w:hint="eastAsia" w:ascii="仿宋_GB2312" w:hAnsi="仿宋_GB2312" w:eastAsia="仿宋_GB2312" w:cs="仿宋_GB2312"/>
          <w:sz w:val="32"/>
          <w:szCs w:val="32"/>
        </w:rPr>
        <w:t>，实际完成值：</w:t>
      </w:r>
      <w:r>
        <w:rPr>
          <w:rFonts w:ascii="仿宋_GB2312" w:hAnsi="仿宋_GB2312" w:eastAsia="仿宋_GB2312" w:cs="仿宋_GB2312"/>
          <w:sz w:val="32"/>
          <w:szCs w:val="32"/>
        </w:rPr>
        <w:t>160万元</w:t>
      </w:r>
      <w:r>
        <w:rPr>
          <w:rFonts w:hint="eastAsia" w:ascii="仿宋_GB2312" w:hAnsi="仿宋_GB2312" w:eastAsia="仿宋_GB2312" w:cs="仿宋_GB2312"/>
          <w:sz w:val="32"/>
          <w:szCs w:val="32"/>
        </w:rPr>
        <w:t>，指标完成率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p>
    <w:p>
      <w:pPr>
        <w:pStyle w:val="12"/>
        <w:numPr>
          <w:ilvl w:val="0"/>
          <w:numId w:val="3"/>
        </w:numPr>
        <w:spacing w:line="560" w:lineRule="exact"/>
        <w:ind w:firstLine="643"/>
        <w:rPr>
          <w:rFonts w:eastAsia="楷体_GB2312"/>
          <w:b w:val="0"/>
          <w:bCs w:val="0"/>
          <w:sz w:val="32"/>
          <w:szCs w:val="32"/>
        </w:rPr>
      </w:pPr>
      <w:r>
        <w:rPr>
          <w:rFonts w:eastAsia="楷体_GB2312"/>
          <w:b w:val="0"/>
          <w:bCs w:val="0"/>
          <w:sz w:val="32"/>
          <w:szCs w:val="32"/>
        </w:rPr>
        <w:t>项目效益情况</w:t>
      </w:r>
    </w:p>
    <w:p>
      <w:pPr>
        <w:spacing w:line="600" w:lineRule="exact"/>
        <w:ind w:firstLine="640" w:firstLineChars="200"/>
        <w:outlineLvl w:val="0"/>
        <w:rPr>
          <w:rFonts w:ascii="仿宋_GB2312" w:hAnsi="仿宋_GB2312" w:eastAsia="仿宋_GB2312" w:cs="仿宋_GB2312"/>
          <w:sz w:val="32"/>
          <w:szCs w:val="32"/>
        </w:rPr>
      </w:pPr>
      <w:r>
        <w:rPr>
          <w:rFonts w:ascii="仿宋_GB2312" w:hAnsi="仿宋_GB2312" w:eastAsia="仿宋_GB2312" w:cs="仿宋_GB2312"/>
          <w:sz w:val="32"/>
          <w:szCs w:val="32"/>
        </w:rPr>
        <w:t>项目效益类指标包括项目实施效益和满意度两方面的内容，由3个三级指标构成，权重分为20分，实际得分20分，得分率为100%。具体效益指标及满意度指标完成情况如下：</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1.实施效益</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①社会效益指标：</w:t>
      </w:r>
    </w:p>
    <w:p>
      <w:pPr>
        <w:spacing w:line="600" w:lineRule="exact"/>
        <w:ind w:firstLine="640" w:firstLineChars="200"/>
        <w:outlineLvl w:val="0"/>
        <w:rPr>
          <w:rFonts w:ascii="仿宋_GB2312" w:hAnsi="仿宋_GB2312" w:eastAsia="仿宋_GB2312" w:cs="仿宋_GB2312"/>
          <w:sz w:val="32"/>
          <w:szCs w:val="32"/>
        </w:rPr>
      </w:pPr>
      <w:r>
        <w:rPr>
          <w:rFonts w:ascii="仿宋_GB2312" w:hAnsi="仿宋_GB2312" w:eastAsia="仿宋_GB2312" w:cs="仿宋_GB2312"/>
          <w:sz w:val="32"/>
          <w:szCs w:val="32"/>
        </w:rPr>
        <w:t>指标</w:t>
      </w:r>
      <w:r>
        <w:rPr>
          <w:rFonts w:hint="eastAsia" w:ascii="仿宋_GB2312" w:hAnsi="仿宋_GB2312" w:eastAsia="仿宋_GB2312" w:cs="仿宋_GB2312"/>
          <w:sz w:val="32"/>
          <w:szCs w:val="32"/>
        </w:rPr>
        <w:t>1：保障公众知识获取与使用公共空间的权利，指标值：有所保障，实际完成值：有所保障，指标完成率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2.满意度</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满意度指标：</w:t>
      </w:r>
    </w:p>
    <w:p>
      <w:pPr>
        <w:pStyle w:val="10"/>
        <w:spacing w:before="0" w:after="0" w:line="600" w:lineRule="exact"/>
        <w:ind w:firstLine="540"/>
        <w:jc w:val="both"/>
        <w:rPr>
          <w:rFonts w:ascii="仿宋_GB2312" w:hAnsi="仿宋_GB2312" w:eastAsia="仿宋_GB2312" w:cs="仿宋_GB2312"/>
          <w:b w:val="0"/>
          <w:bCs w:val="0"/>
          <w:kern w:val="2"/>
        </w:rPr>
      </w:pPr>
      <w:r>
        <w:rPr>
          <w:rFonts w:ascii="仿宋_GB2312" w:hAnsi="仿宋_GB2312" w:eastAsia="仿宋_GB2312" w:cs="仿宋_GB2312"/>
          <w:b w:val="0"/>
          <w:bCs w:val="0"/>
          <w:kern w:val="2"/>
        </w:rPr>
        <w:t>指标</w:t>
      </w:r>
      <w:r>
        <w:rPr>
          <w:rFonts w:hint="eastAsia" w:ascii="仿宋_GB2312" w:hAnsi="仿宋_GB2312" w:eastAsia="仿宋_GB2312" w:cs="仿宋_GB2312"/>
          <w:b w:val="0"/>
          <w:bCs w:val="0"/>
          <w:kern w:val="2"/>
        </w:rPr>
        <w:t>1：读者满意度，指标值：≥</w:t>
      </w:r>
      <w:r>
        <w:rPr>
          <w:rFonts w:ascii="仿宋_GB2312" w:hAnsi="仿宋_GB2312" w:eastAsia="仿宋_GB2312" w:cs="仿宋_GB2312"/>
          <w:b w:val="0"/>
          <w:bCs w:val="0"/>
          <w:kern w:val="2"/>
        </w:rPr>
        <w:t>90</w:t>
      </w:r>
      <w:r>
        <w:rPr>
          <w:rFonts w:hint="eastAsia" w:ascii="仿宋_GB2312" w:hAnsi="仿宋_GB2312" w:eastAsia="仿宋_GB2312" w:cs="仿宋_GB2312"/>
          <w:b w:val="0"/>
          <w:bCs w:val="0"/>
          <w:kern w:val="2"/>
        </w:rPr>
        <w:t>%，实际完成值：</w:t>
      </w:r>
      <w:r>
        <w:rPr>
          <w:rFonts w:ascii="仿宋_GB2312" w:hAnsi="仿宋_GB2312" w:eastAsia="仿宋_GB2312" w:cs="仿宋_GB2312"/>
          <w:b w:val="0"/>
          <w:bCs w:val="0"/>
          <w:kern w:val="2"/>
        </w:rPr>
        <w:t>97</w:t>
      </w:r>
      <w:r>
        <w:rPr>
          <w:rFonts w:hint="eastAsia" w:ascii="仿宋_GB2312" w:hAnsi="仿宋_GB2312" w:eastAsia="仿宋_GB2312" w:cs="仿宋_GB2312"/>
          <w:b w:val="0"/>
          <w:bCs w:val="0"/>
          <w:kern w:val="2"/>
        </w:rPr>
        <w:t>%，指标完成率</w:t>
      </w:r>
      <w:r>
        <w:rPr>
          <w:rFonts w:ascii="仿宋_GB2312" w:hAnsi="仿宋_GB2312" w:eastAsia="仿宋_GB2312" w:cs="仿宋_GB2312"/>
          <w:b w:val="0"/>
          <w:bCs w:val="0"/>
          <w:kern w:val="2"/>
        </w:rPr>
        <w:t>107</w:t>
      </w:r>
      <w:r>
        <w:rPr>
          <w:rFonts w:hint="eastAsia" w:ascii="仿宋_GB2312" w:hAnsi="仿宋_GB2312" w:eastAsia="仿宋_GB2312" w:cs="仿宋_GB2312"/>
          <w:b w:val="0"/>
          <w:bCs w:val="0"/>
          <w:kern w:val="2"/>
        </w:rPr>
        <w:t>%。</w:t>
      </w:r>
    </w:p>
    <w:p>
      <w:pPr>
        <w:pStyle w:val="10"/>
        <w:spacing w:before="0" w:after="0" w:line="600" w:lineRule="exact"/>
        <w:ind w:firstLine="540"/>
        <w:jc w:val="both"/>
        <w:rPr>
          <w:rFonts w:ascii="仿宋_GB2312" w:hAnsi="仿宋_GB2312" w:eastAsia="仿宋_GB2312" w:cs="仿宋_GB2312"/>
          <w:b w:val="0"/>
          <w:bCs w:val="0"/>
          <w:kern w:val="2"/>
        </w:rPr>
      </w:pPr>
      <w:r>
        <w:rPr>
          <w:rFonts w:ascii="仿宋_GB2312" w:hAnsi="仿宋_GB2312" w:eastAsia="仿宋_GB2312" w:cs="仿宋_GB2312"/>
          <w:b w:val="0"/>
        </w:rPr>
        <w:t>指标</w:t>
      </w:r>
      <w:r>
        <w:rPr>
          <w:rFonts w:hint="eastAsia" w:ascii="仿宋_GB2312" w:hAnsi="仿宋_GB2312" w:eastAsia="仿宋_GB2312" w:cs="仿宋_GB2312"/>
          <w:b w:val="0"/>
        </w:rPr>
        <w:t>2：参加活动人员满意度，指标值：</w:t>
      </w:r>
      <w:r>
        <w:rPr>
          <w:rFonts w:hint="eastAsia" w:ascii="仿宋_GB2312" w:hAnsi="仿宋_GB2312" w:eastAsia="仿宋_GB2312" w:cs="仿宋_GB2312"/>
          <w:b w:val="0"/>
          <w:bCs w:val="0"/>
          <w:kern w:val="2"/>
        </w:rPr>
        <w:t>≥</w:t>
      </w:r>
      <w:r>
        <w:rPr>
          <w:rFonts w:ascii="仿宋_GB2312" w:hAnsi="仿宋_GB2312" w:eastAsia="仿宋_GB2312" w:cs="仿宋_GB2312"/>
          <w:b w:val="0"/>
          <w:bCs w:val="0"/>
          <w:kern w:val="2"/>
        </w:rPr>
        <w:t>90</w:t>
      </w:r>
      <w:r>
        <w:rPr>
          <w:rFonts w:hint="eastAsia" w:ascii="仿宋_GB2312" w:hAnsi="仿宋_GB2312" w:eastAsia="仿宋_GB2312" w:cs="仿宋_GB2312"/>
          <w:b w:val="0"/>
          <w:bCs w:val="0"/>
          <w:kern w:val="2"/>
        </w:rPr>
        <w:t>%，实际完成值：</w:t>
      </w:r>
      <w:r>
        <w:rPr>
          <w:rFonts w:ascii="仿宋_GB2312" w:hAnsi="仿宋_GB2312" w:eastAsia="仿宋_GB2312" w:cs="仿宋_GB2312"/>
          <w:b w:val="0"/>
          <w:bCs w:val="0"/>
          <w:kern w:val="2"/>
        </w:rPr>
        <w:t>96</w:t>
      </w:r>
      <w:r>
        <w:rPr>
          <w:rFonts w:hint="eastAsia" w:ascii="仿宋_GB2312" w:hAnsi="仿宋_GB2312" w:eastAsia="仿宋_GB2312" w:cs="仿宋_GB2312"/>
          <w:b w:val="0"/>
          <w:bCs w:val="0"/>
          <w:kern w:val="2"/>
        </w:rPr>
        <w:t>%，指标完成率</w:t>
      </w:r>
      <w:r>
        <w:rPr>
          <w:rFonts w:ascii="仿宋_GB2312" w:hAnsi="仿宋_GB2312" w:eastAsia="仿宋_GB2312" w:cs="仿宋_GB2312"/>
          <w:b w:val="0"/>
          <w:bCs w:val="0"/>
          <w:kern w:val="2"/>
        </w:rPr>
        <w:t>106</w:t>
      </w:r>
      <w:r>
        <w:rPr>
          <w:rFonts w:hint="eastAsia" w:ascii="仿宋_GB2312" w:hAnsi="仿宋_GB2312" w:eastAsia="仿宋_GB2312" w:cs="仿宋_GB2312"/>
          <w:b w:val="0"/>
          <w:bCs w:val="0"/>
          <w:kern w:val="2"/>
        </w:rPr>
        <w:t>%。</w:t>
      </w:r>
    </w:p>
    <w:p>
      <w:pPr>
        <w:spacing w:line="560" w:lineRule="exact"/>
        <w:ind w:firstLine="640" w:firstLineChars="200"/>
        <w:rPr>
          <w:rFonts w:ascii="黑体" w:hAnsi="黑体" w:eastAsia="黑体" w:cs="黑体"/>
          <w:sz w:val="32"/>
          <w:szCs w:val="32"/>
          <w:lang w:eastAsia="zh-Hans"/>
        </w:rPr>
      </w:pPr>
      <w:r>
        <w:rPr>
          <w:rFonts w:hint="eastAsia" w:ascii="黑体" w:hAnsi="黑体" w:eastAsia="黑体" w:cs="黑体"/>
          <w:sz w:val="32"/>
          <w:szCs w:val="32"/>
        </w:rPr>
        <w:t>五、</w:t>
      </w:r>
      <w:r>
        <w:rPr>
          <w:rFonts w:hint="eastAsia" w:ascii="黑体" w:hAnsi="黑体" w:eastAsia="黑体" w:cs="黑体"/>
          <w:sz w:val="32"/>
          <w:szCs w:val="32"/>
          <w:lang w:eastAsia="zh-Hans"/>
        </w:rPr>
        <w:t>预算执行进度与绩效指标总体完成率偏差</w:t>
      </w:r>
    </w:p>
    <w:p>
      <w:pPr>
        <w:pStyle w:val="19"/>
        <w:spacing w:line="560" w:lineRule="exact"/>
        <w:ind w:firstLine="640"/>
        <w:rPr>
          <w:rFonts w:ascii="仿宋_GB2312" w:hAnsi="仿宋_GB2312" w:eastAsia="仿宋_GB2312" w:cs="仿宋_GB2312"/>
          <w:sz w:val="32"/>
          <w:szCs w:val="32"/>
        </w:rPr>
      </w:pPr>
      <w:r>
        <w:rPr>
          <w:rFonts w:hint="eastAsia" w:eastAsia="仿宋_GB2312"/>
          <w:kern w:val="2"/>
          <w:sz w:val="32"/>
          <w:szCs w:val="32"/>
        </w:rPr>
        <w:t>免费开放运行保障经费</w:t>
      </w:r>
      <w:r>
        <w:rPr>
          <w:rFonts w:hint="eastAsia" w:ascii="仿宋_GB2312" w:hAnsi="仿宋_GB2312" w:eastAsia="仿宋_GB2312" w:cs="仿宋_GB2312"/>
          <w:sz w:val="32"/>
          <w:szCs w:val="32"/>
        </w:rPr>
        <w:t>项目年初预算</w:t>
      </w:r>
      <w:r>
        <w:rPr>
          <w:rFonts w:ascii="仿宋_GB2312" w:hAnsi="仿宋_GB2312" w:eastAsia="仿宋_GB2312" w:cs="仿宋_GB2312"/>
          <w:sz w:val="32"/>
          <w:szCs w:val="32"/>
        </w:rPr>
        <w:t>620</w:t>
      </w:r>
      <w:r>
        <w:rPr>
          <w:rFonts w:hint="eastAsia" w:ascii="仿宋_GB2312" w:hAnsi="仿宋_GB2312" w:eastAsia="仿宋_GB2312" w:cs="仿宋_GB2312"/>
          <w:sz w:val="32"/>
          <w:szCs w:val="32"/>
        </w:rPr>
        <w:t>万元，全年预算</w:t>
      </w:r>
      <w:r>
        <w:rPr>
          <w:rFonts w:ascii="仿宋_GB2312" w:hAnsi="仿宋_GB2312" w:eastAsia="仿宋_GB2312" w:cs="仿宋_GB2312"/>
          <w:sz w:val="32"/>
          <w:szCs w:val="32"/>
        </w:rPr>
        <w:t>620</w:t>
      </w:r>
      <w:r>
        <w:rPr>
          <w:rFonts w:hint="eastAsia" w:ascii="仿宋_GB2312" w:hAnsi="仿宋_GB2312" w:eastAsia="仿宋_GB2312" w:cs="仿宋_GB2312"/>
          <w:sz w:val="32"/>
          <w:szCs w:val="32"/>
        </w:rPr>
        <w:t>万元，实际支出</w:t>
      </w:r>
      <w:r>
        <w:rPr>
          <w:rFonts w:ascii="仿宋_GB2312" w:hAnsi="仿宋_GB2312" w:eastAsia="仿宋_GB2312" w:cs="仿宋_GB2312"/>
          <w:sz w:val="32"/>
          <w:szCs w:val="32"/>
        </w:rPr>
        <w:t>620</w:t>
      </w:r>
      <w:r>
        <w:rPr>
          <w:rFonts w:hint="eastAsia" w:ascii="仿宋_GB2312" w:hAnsi="仿宋_GB2312" w:eastAsia="仿宋_GB2312" w:cs="仿宋_GB2312"/>
          <w:sz w:val="32"/>
          <w:szCs w:val="32"/>
        </w:rPr>
        <w:t>万元，预算执行率为</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%，项目绩效指标总体完成率为</w:t>
      </w:r>
      <w:r>
        <w:rPr>
          <w:rFonts w:ascii="仿宋_GB2312" w:hAnsi="仿宋_GB2312" w:eastAsia="仿宋_GB2312" w:cs="仿宋_GB2312"/>
          <w:sz w:val="32"/>
          <w:szCs w:val="32"/>
        </w:rPr>
        <w:t>112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Hans"/>
        </w:rPr>
        <w:t>总体</w:t>
      </w:r>
      <w:r>
        <w:rPr>
          <w:rFonts w:hint="eastAsia" w:ascii="仿宋_GB2312" w:hAnsi="仿宋_GB2312" w:eastAsia="仿宋_GB2312" w:cs="仿宋_GB2312"/>
          <w:sz w:val="32"/>
          <w:szCs w:val="32"/>
        </w:rPr>
        <w:t>偏差率为</w:t>
      </w:r>
      <w:r>
        <w:rPr>
          <w:rFonts w:ascii="仿宋_GB2312" w:hAnsi="仿宋_GB2312" w:eastAsia="仿宋_GB2312" w:cs="仿宋_GB2312"/>
          <w:sz w:val="32"/>
          <w:szCs w:val="32"/>
        </w:rPr>
        <w:t>12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Hans"/>
        </w:rPr>
        <w:t>偏差</w:t>
      </w:r>
      <w:r>
        <w:rPr>
          <w:rFonts w:hint="eastAsia" w:ascii="仿宋_GB2312" w:hAnsi="仿宋_GB2312" w:eastAsia="仿宋_GB2312" w:cs="仿宋_GB2312"/>
          <w:sz w:val="32"/>
          <w:szCs w:val="32"/>
        </w:rPr>
        <w:t>原因：2</w:t>
      </w:r>
      <w:r>
        <w:rPr>
          <w:rFonts w:ascii="仿宋_GB2312" w:hAnsi="仿宋_GB2312" w:eastAsia="仿宋_GB2312" w:cs="仿宋_GB2312"/>
          <w:sz w:val="32"/>
          <w:szCs w:val="32"/>
        </w:rPr>
        <w:t>024年</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新疆图书馆通过</w:t>
      </w:r>
      <w:r>
        <w:rPr>
          <w:rFonts w:hint="eastAsia" w:ascii="仿宋_GB2312" w:hAnsi="仿宋_GB2312" w:eastAsia="仿宋_GB2312" w:cs="仿宋_GB2312"/>
          <w:sz w:val="32"/>
          <w:szCs w:val="32"/>
        </w:rPr>
        <w:t>进一步优化场馆空间布局、延时服务，增加对外借阅文献，阅读活动更加丰富，流通人次显著增加，基础服务、活动组织等均获得较高满意度。改进措施：更加科学、合理的设置各项指标值。</w:t>
      </w:r>
    </w:p>
    <w:p>
      <w:pPr>
        <w:spacing w:line="560" w:lineRule="exact"/>
        <w:ind w:firstLine="640" w:firstLineChars="200"/>
        <w:rPr>
          <w:rStyle w:val="18"/>
          <w:rFonts w:ascii="Times New Roman" w:hAnsi="Times New Roman" w:cs="Times New Roman"/>
          <w:color w:val="auto"/>
        </w:rPr>
      </w:pPr>
      <w:r>
        <w:rPr>
          <w:rFonts w:hint="eastAsia" w:eastAsia="黑体"/>
          <w:sz w:val="32"/>
          <w:szCs w:val="32"/>
        </w:rPr>
        <w:t>六</w:t>
      </w:r>
      <w:r>
        <w:rPr>
          <w:rFonts w:hint="eastAsia" w:eastAsia="黑体"/>
          <w:sz w:val="32"/>
          <w:szCs w:val="32"/>
          <w:lang w:eastAsia="zh-CN"/>
        </w:rPr>
        <w:t>、</w:t>
      </w:r>
      <w:r>
        <w:rPr>
          <w:rFonts w:eastAsia="黑体"/>
          <w:sz w:val="32"/>
          <w:szCs w:val="32"/>
        </w:rPr>
        <w:t>主要经验及做法、存在的问题及原因分析</w:t>
      </w:r>
    </w:p>
    <w:p>
      <w:pPr>
        <w:spacing w:line="560" w:lineRule="exact"/>
        <w:ind w:firstLine="624" w:firstLineChars="200"/>
        <w:rPr>
          <w:rFonts w:eastAsia="仿宋_GB2312"/>
          <w:b w:val="0"/>
          <w:bCs/>
          <w:color w:val="FF0000"/>
          <w:spacing w:val="17"/>
          <w:sz w:val="32"/>
          <w:szCs w:val="32"/>
        </w:rPr>
      </w:pPr>
      <w:r>
        <w:rPr>
          <w:rFonts w:eastAsia="楷体"/>
          <w:b w:val="0"/>
          <w:bCs/>
          <w:spacing w:val="-4"/>
          <w:sz w:val="32"/>
          <w:szCs w:val="32"/>
        </w:rPr>
        <w:t>（一）主要经验及做法</w:t>
      </w:r>
    </w:p>
    <w:p>
      <w:pPr>
        <w:spacing w:line="560" w:lineRule="exact"/>
        <w:ind w:firstLine="640" w:firstLineChars="20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0"/>
        <w:spacing w:before="0" w:after="0" w:line="560" w:lineRule="exact"/>
        <w:ind w:firstLine="640" w:firstLineChars="200"/>
        <w:jc w:val="left"/>
        <w:rPr>
          <w:rFonts w:ascii="Times New Roman" w:hAnsi="Times New Roman" w:eastAsia="仿宋_GB2312"/>
          <w:b w:val="0"/>
          <w:bCs w:val="0"/>
          <w:kern w:val="2"/>
        </w:rPr>
      </w:pPr>
      <w:r>
        <w:rPr>
          <w:rFonts w:ascii="Times New Roman" w:hAnsi="Times New Roman" w:eastAsia="仿宋_GB2312"/>
          <w:b w:val="0"/>
          <w:bCs w:val="0"/>
          <w:kern w:val="2"/>
        </w:rPr>
        <w:t>严格坚持先做事、后验收、再拨付的原则，</w:t>
      </w:r>
      <w:r>
        <w:rPr>
          <w:rFonts w:hint="eastAsia" w:ascii="Times New Roman" w:hAnsi="Times New Roman" w:eastAsia="仿宋_GB2312"/>
          <w:b w:val="0"/>
          <w:bCs w:val="0"/>
          <w:kern w:val="2"/>
        </w:rPr>
        <w:t>杜绝</w:t>
      </w:r>
      <w:r>
        <w:rPr>
          <w:rFonts w:ascii="Times New Roman" w:hAnsi="Times New Roman" w:eastAsia="仿宋_GB2312"/>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numPr>
          <w:ilvl w:val="0"/>
          <w:numId w:val="4"/>
        </w:numPr>
        <w:spacing w:line="560" w:lineRule="exact"/>
        <w:ind w:firstLine="640" w:firstLineChars="200"/>
        <w:rPr>
          <w:rFonts w:eastAsia="楷体_GB2312"/>
          <w:b w:val="0"/>
          <w:bCs w:val="0"/>
          <w:sz w:val="32"/>
          <w:szCs w:val="32"/>
        </w:rPr>
      </w:pPr>
      <w:r>
        <w:rPr>
          <w:rFonts w:eastAsia="楷体_GB2312"/>
          <w:b w:val="0"/>
          <w:bCs w:val="0"/>
          <w:sz w:val="32"/>
          <w:szCs w:val="32"/>
        </w:rPr>
        <w:t>存在的问题及原因分析</w:t>
      </w:r>
    </w:p>
    <w:p>
      <w:pPr>
        <w:pStyle w:val="19"/>
        <w:spacing w:line="56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pStyle w:val="19"/>
        <w:spacing w:line="56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2.2024年指标值设置主要依据2022、2023年各项业务实际以及部分行业标准，在采取一些具体措施优化场馆布局与各项服务后，流通人次、读者满意度等有较明</w:t>
      </w:r>
      <w:r>
        <w:rPr>
          <w:rFonts w:hint="eastAsia" w:ascii="仿宋_GB2312" w:hAnsi="仿宋_GB2312" w:eastAsia="仿宋_GB2312" w:cs="仿宋_GB2312"/>
          <w:sz w:val="32"/>
          <w:szCs w:val="32"/>
          <w:lang w:val="en-US" w:eastAsia="zh-CN"/>
        </w:rPr>
        <w:t>显</w:t>
      </w:r>
      <w:r>
        <w:rPr>
          <w:rFonts w:hint="eastAsia" w:ascii="仿宋_GB2312" w:hAnsi="仿宋_GB2312" w:eastAsia="仿宋_GB2312" w:cs="仿宋_GB2312"/>
          <w:sz w:val="32"/>
          <w:szCs w:val="32"/>
        </w:rPr>
        <w:t>提升，实际完成情况与指标值存在偏差。</w:t>
      </w:r>
    </w:p>
    <w:p>
      <w:pPr>
        <w:spacing w:line="560" w:lineRule="exact"/>
        <w:ind w:firstLine="640" w:firstLineChars="200"/>
        <w:rPr>
          <w:rFonts w:eastAsia="黑体"/>
          <w:sz w:val="32"/>
          <w:szCs w:val="32"/>
        </w:rPr>
      </w:pPr>
      <w:r>
        <w:rPr>
          <w:rFonts w:hint="eastAsia" w:eastAsia="黑体"/>
          <w:sz w:val="32"/>
          <w:szCs w:val="32"/>
        </w:rPr>
        <w:t>七</w:t>
      </w:r>
      <w:r>
        <w:rPr>
          <w:rFonts w:hint="eastAsia" w:eastAsia="黑体"/>
          <w:sz w:val="32"/>
          <w:szCs w:val="32"/>
          <w:lang w:eastAsia="zh-CN"/>
        </w:rPr>
        <w:t>、</w:t>
      </w:r>
      <w:r>
        <w:rPr>
          <w:rFonts w:eastAsia="黑体"/>
          <w:sz w:val="32"/>
          <w:szCs w:val="32"/>
        </w:rPr>
        <w:t>有关建议</w:t>
      </w:r>
    </w:p>
    <w:p>
      <w:pPr>
        <w:pStyle w:val="19"/>
        <w:spacing w:line="56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1.多进行有关绩效管理工作方面的培训。积极组织第三方开展绩效管理工作培训，进一步夯实业务基础，提高我单位绩效人员水平。</w:t>
      </w:r>
    </w:p>
    <w:p>
      <w:pPr>
        <w:pStyle w:val="19"/>
        <w:spacing w:line="56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2.专门设定对绩效工作人员定职、定岗、定责等相关制度措施，进一步提升我单位绩效管理工作业务水平，扎实做好绩效管理工作。</w:t>
      </w:r>
    </w:p>
    <w:p>
      <w:pPr>
        <w:pStyle w:val="19"/>
        <w:spacing w:line="56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pStyle w:val="19"/>
        <w:spacing w:line="56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4.进一步完善项目评价过程中有关数据和资料的收集、整理、审核及分析。项目启动时同步做好档案的归纳与整理，及时整理、收集、汇总，健全档案资料。项目后续管理有待进一步加强和跟踪。</w:t>
      </w:r>
    </w:p>
    <w:p>
      <w:pPr>
        <w:pStyle w:val="19"/>
        <w:spacing w:line="56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5.进一步加强对绩效管理工作的组织领导，提高对预算绩效管理工作重要性的认识，总结经验查找问题，抓紧研究制定更全面更完善的绩效评价管理办法。结合</w:t>
      </w:r>
      <w:r>
        <w:rPr>
          <w:rFonts w:hint="eastAsia" w:ascii="仿宋_GB2312" w:hAnsi="仿宋_GB2312" w:eastAsia="仿宋_GB2312" w:cs="仿宋_GB2312"/>
          <w:sz w:val="32"/>
          <w:szCs w:val="32"/>
          <w:lang w:val="en-US" w:eastAsia="zh-CN"/>
        </w:rPr>
        <w:t>单位实际业务</w:t>
      </w:r>
      <w:r>
        <w:rPr>
          <w:rFonts w:hint="eastAsia" w:ascii="仿宋_GB2312" w:hAnsi="仿宋_GB2312" w:eastAsia="仿宋_GB2312" w:cs="仿宋_GB2312"/>
          <w:sz w:val="32"/>
          <w:szCs w:val="32"/>
        </w:rPr>
        <w:t>考核建立绩效工作考核制度，加大全局对全面实施预算绩效管理和绩效管理工作的学习力度，让“花钱必问效，无效必问责”的理念深入工作每个环节。</w:t>
      </w:r>
    </w:p>
    <w:p>
      <w:pPr>
        <w:spacing w:line="560" w:lineRule="exact"/>
        <w:ind w:firstLine="640" w:firstLineChars="200"/>
        <w:rPr>
          <w:rFonts w:eastAsia="黑体"/>
          <w:sz w:val="32"/>
          <w:szCs w:val="32"/>
        </w:rPr>
      </w:pPr>
      <w:r>
        <w:rPr>
          <w:rFonts w:hint="eastAsia" w:eastAsia="黑体"/>
          <w:sz w:val="32"/>
          <w:szCs w:val="32"/>
        </w:rPr>
        <w:t>八</w:t>
      </w:r>
      <w:r>
        <w:rPr>
          <w:rFonts w:hint="eastAsia" w:eastAsia="黑体"/>
          <w:sz w:val="32"/>
          <w:szCs w:val="32"/>
          <w:lang w:eastAsia="zh-CN"/>
        </w:rPr>
        <w:t>、</w:t>
      </w:r>
      <w:r>
        <w:rPr>
          <w:rFonts w:eastAsia="黑体"/>
          <w:sz w:val="32"/>
          <w:szCs w:val="32"/>
        </w:rPr>
        <w:t>其他需要说</w:t>
      </w:r>
      <w:bookmarkStart w:id="0" w:name="page8"/>
      <w:bookmarkEnd w:id="0"/>
      <w:r>
        <w:rPr>
          <w:rFonts w:eastAsia="黑体"/>
          <w:sz w:val="32"/>
          <w:szCs w:val="32"/>
        </w:rPr>
        <w:t>明的问题</w:t>
      </w:r>
    </w:p>
    <w:p>
      <w:pPr>
        <w:pStyle w:val="13"/>
        <w:spacing w:after="0" w:line="560" w:lineRule="exact"/>
        <w:ind w:left="0" w:leftChars="0" w:firstLine="640"/>
        <w:rPr>
          <w:rFonts w:ascii="Times New Roman" w:hAnsi="Times New Roman" w:eastAsia="仿宋_GB2312"/>
          <w:sz w:val="32"/>
          <w:szCs w:val="32"/>
          <w:lang w:eastAsia="zh-Hans"/>
        </w:rPr>
      </w:pPr>
      <w:r>
        <w:rPr>
          <w:rFonts w:ascii="Times New Roman" w:hAnsi="Times New Roman" w:eastAsia="仿宋_GB2312"/>
          <w:sz w:val="32"/>
          <w:szCs w:val="32"/>
          <w:lang w:eastAsia="zh-Hans"/>
        </w:rPr>
        <w:t>本项目无其他需说明的问题。</w:t>
      </w:r>
    </w:p>
    <w:p>
      <w:pPr>
        <w:spacing w:line="600" w:lineRule="exact"/>
        <w:rPr>
          <w:rFonts w:hint="eastAsia" w:eastAsia="黑体"/>
          <w:sz w:val="32"/>
          <w:szCs w:val="32"/>
        </w:rPr>
        <w:sectPr>
          <w:footerReference r:id="rId3" w:type="default"/>
          <w:pgSz w:w="11906" w:h="16838"/>
          <w:pgMar w:top="1440" w:right="1558" w:bottom="1440" w:left="1800" w:header="851" w:footer="992" w:gutter="0"/>
          <w:pgNumType w:start="1"/>
          <w:cols w:space="425" w:num="1"/>
          <w:docGrid w:type="lines" w:linePitch="312" w:charSpace="0"/>
        </w:sectPr>
      </w:pPr>
    </w:p>
    <w:p>
      <w:pPr>
        <w:spacing w:line="600" w:lineRule="exact"/>
        <w:rPr>
          <w:rFonts w:eastAsia="黑体"/>
          <w:sz w:val="32"/>
          <w:szCs w:val="32"/>
        </w:rPr>
      </w:pPr>
      <w:r>
        <w:rPr>
          <w:rFonts w:hint="eastAsia" w:eastAsia="黑体"/>
          <w:sz w:val="32"/>
          <w:szCs w:val="32"/>
        </w:rPr>
        <w:t>附件2</w:t>
      </w:r>
    </w:p>
    <w:p>
      <w:pPr>
        <w:pStyle w:val="19"/>
        <w:ind w:firstLine="562"/>
        <w:jc w:val="center"/>
        <w:rPr>
          <w:rFonts w:ascii="仿宋_GB2312" w:hAnsi="仿宋_GB2312" w:eastAsia="仿宋_GB2312" w:cs="仿宋_GB2312"/>
          <w:sz w:val="28"/>
          <w:szCs w:val="40"/>
        </w:rPr>
      </w:pPr>
      <w:bookmarkStart w:id="1" w:name="_Toc30064_WPSOffice_Level1"/>
      <w:bookmarkStart w:id="2" w:name="_Toc26499_WPSOffice_Level2"/>
      <w:r>
        <w:rPr>
          <w:rFonts w:hint="eastAsia" w:ascii="仿宋_GB2312" w:hAnsi="仿宋_GB2312" w:eastAsia="仿宋_GB2312" w:cs="仿宋_GB2312"/>
          <w:b/>
          <w:bCs/>
          <w:sz w:val="28"/>
          <w:szCs w:val="40"/>
        </w:rPr>
        <w:t>图书馆免费开放运行保障经费项目绩效评价指标体系及综合评分表</w:t>
      </w:r>
      <w:bookmarkEnd w:id="1"/>
      <w:bookmarkEnd w:id="2"/>
    </w:p>
    <w:tbl>
      <w:tblPr>
        <w:tblStyle w:val="14"/>
        <w:tblW w:w="4730"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997"/>
        <w:gridCol w:w="993"/>
        <w:gridCol w:w="1068"/>
        <w:gridCol w:w="3045"/>
        <w:gridCol w:w="5036"/>
        <w:gridCol w:w="1296"/>
        <w:gridCol w:w="97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372" w:type="pct"/>
            <w:shd w:val="clear" w:color="auto"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一级指标</w:t>
            </w:r>
          </w:p>
        </w:tc>
        <w:tc>
          <w:tcPr>
            <w:tcW w:w="370" w:type="pct"/>
            <w:shd w:val="clear" w:color="auto"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二级指标</w:t>
            </w:r>
          </w:p>
        </w:tc>
        <w:tc>
          <w:tcPr>
            <w:tcW w:w="398" w:type="pct"/>
            <w:shd w:val="clear" w:color="auto"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三级指标</w:t>
            </w:r>
          </w:p>
        </w:tc>
        <w:tc>
          <w:tcPr>
            <w:tcW w:w="1135" w:type="pct"/>
            <w:shd w:val="clear" w:color="auto"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指标解释</w:t>
            </w:r>
          </w:p>
        </w:tc>
        <w:tc>
          <w:tcPr>
            <w:tcW w:w="1877" w:type="pct"/>
            <w:shd w:val="clear" w:color="auto"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指标说明</w:t>
            </w:r>
          </w:p>
        </w:tc>
        <w:tc>
          <w:tcPr>
            <w:tcW w:w="483" w:type="pct"/>
            <w:shd w:val="clear" w:color="auto"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权重</w:t>
            </w:r>
          </w:p>
        </w:tc>
        <w:tc>
          <w:tcPr>
            <w:tcW w:w="363" w:type="pct"/>
            <w:shd w:val="clear" w:color="auto"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49" w:hRule="atLeast"/>
          <w:jc w:val="center"/>
        </w:trPr>
        <w:tc>
          <w:tcPr>
            <w:tcW w:w="372" w:type="pct"/>
            <w:vMerge w:val="restart"/>
            <w:shd w:val="clear" w:color="auto" w:fill="FFFFFF"/>
            <w:vAlign w:val="center"/>
          </w:tcPr>
          <w:p>
            <w:pPr>
              <w:widowControl/>
              <w:spacing w:line="0" w:lineRule="atLeast"/>
              <w:jc w:val="center"/>
              <w:rPr>
                <w:rFonts w:eastAsia="仿宋_GB2312"/>
                <w:color w:val="000000"/>
                <w:kern w:val="0"/>
                <w:sz w:val="18"/>
                <w:szCs w:val="18"/>
              </w:rPr>
            </w:pPr>
          </w:p>
          <w:p>
            <w:pPr>
              <w:widowControl/>
              <w:spacing w:line="0" w:lineRule="atLeast"/>
              <w:jc w:val="center"/>
              <w:rPr>
                <w:rFonts w:eastAsia="仿宋_GB2312"/>
                <w:color w:val="000000"/>
                <w:kern w:val="0"/>
                <w:sz w:val="18"/>
                <w:szCs w:val="18"/>
              </w:rPr>
            </w:pPr>
          </w:p>
          <w:p>
            <w:pPr>
              <w:widowControl/>
              <w:spacing w:line="0" w:lineRule="atLeast"/>
              <w:jc w:val="center"/>
              <w:rPr>
                <w:rFonts w:eastAsia="仿宋_GB2312"/>
                <w:color w:val="000000"/>
                <w:kern w:val="0"/>
                <w:sz w:val="18"/>
                <w:szCs w:val="18"/>
              </w:rPr>
            </w:pPr>
          </w:p>
          <w:p>
            <w:pPr>
              <w:widowControl/>
              <w:spacing w:line="0" w:lineRule="atLeast"/>
              <w:jc w:val="center"/>
              <w:rPr>
                <w:rFonts w:eastAsia="仿宋_GB2312"/>
                <w:color w:val="000000"/>
                <w:kern w:val="0"/>
                <w:sz w:val="18"/>
                <w:szCs w:val="18"/>
              </w:rPr>
            </w:pPr>
          </w:p>
          <w:p>
            <w:pPr>
              <w:widowControl/>
              <w:spacing w:line="0" w:lineRule="atLeast"/>
              <w:jc w:val="center"/>
              <w:rPr>
                <w:rFonts w:eastAsia="仿宋_GB2312"/>
                <w:color w:val="000000"/>
                <w:kern w:val="0"/>
                <w:sz w:val="18"/>
                <w:szCs w:val="18"/>
              </w:rPr>
            </w:pPr>
          </w:p>
          <w:p>
            <w:pPr>
              <w:widowControl/>
              <w:spacing w:line="0" w:lineRule="atLeast"/>
              <w:jc w:val="center"/>
              <w:rPr>
                <w:rFonts w:eastAsia="仿宋_GB2312"/>
                <w:color w:val="000000"/>
                <w:kern w:val="0"/>
                <w:sz w:val="18"/>
                <w:szCs w:val="18"/>
              </w:rPr>
            </w:pPr>
          </w:p>
          <w:p>
            <w:pPr>
              <w:widowControl/>
              <w:spacing w:line="0" w:lineRule="atLeast"/>
              <w:jc w:val="center"/>
              <w:rPr>
                <w:rFonts w:eastAsia="仿宋_GB2312"/>
                <w:color w:val="000000"/>
                <w:kern w:val="0"/>
                <w:sz w:val="18"/>
                <w:szCs w:val="18"/>
              </w:rPr>
            </w:pPr>
            <w:r>
              <w:rPr>
                <w:rFonts w:eastAsia="仿宋_GB2312"/>
                <w:color w:val="000000"/>
                <w:kern w:val="0"/>
                <w:sz w:val="18"/>
                <w:szCs w:val="18"/>
              </w:rPr>
              <w:t>决策　</w:t>
            </w:r>
          </w:p>
        </w:tc>
        <w:tc>
          <w:tcPr>
            <w:tcW w:w="370" w:type="pct"/>
            <w:vMerge w:val="restart"/>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项目立项　</w:t>
            </w:r>
          </w:p>
        </w:tc>
        <w:tc>
          <w:tcPr>
            <w:tcW w:w="398" w:type="pct"/>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立项依据</w:t>
            </w:r>
          </w:p>
          <w:p>
            <w:pPr>
              <w:widowControl/>
              <w:spacing w:line="0" w:lineRule="atLeast"/>
              <w:jc w:val="center"/>
              <w:rPr>
                <w:rFonts w:eastAsia="仿宋_GB2312"/>
                <w:color w:val="000000"/>
                <w:kern w:val="0"/>
                <w:sz w:val="18"/>
                <w:szCs w:val="18"/>
              </w:rPr>
            </w:pPr>
            <w:r>
              <w:rPr>
                <w:rFonts w:eastAsia="仿宋_GB2312"/>
                <w:color w:val="000000"/>
                <w:kern w:val="0"/>
                <w:sz w:val="18"/>
                <w:szCs w:val="18"/>
              </w:rPr>
              <w:t>充分性</w:t>
            </w:r>
          </w:p>
        </w:tc>
        <w:tc>
          <w:tcPr>
            <w:tcW w:w="1135" w:type="pct"/>
            <w:shd w:val="clear" w:color="auto"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项目立项是否符合法律法规、相关政策、发展规划以及部门职责，用以反映和考核项目立项依据情况。</w:t>
            </w:r>
          </w:p>
        </w:tc>
        <w:tc>
          <w:tcPr>
            <w:tcW w:w="1877" w:type="pct"/>
            <w:shd w:val="clear" w:color="auto" w:fill="FFFFFF"/>
            <w:vAlign w:val="center"/>
          </w:tcPr>
          <w:p>
            <w:pPr>
              <w:widowControl/>
              <w:spacing w:line="0" w:lineRule="atLeast"/>
              <w:jc w:val="lef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①项目立项是否符合国家法律法规、国民经济发展规划和相关政策；</w:t>
            </w:r>
            <w:r>
              <w:rPr>
                <w:rFonts w:eastAsia="仿宋_GB2312"/>
                <w:color w:val="000000"/>
                <w:kern w:val="0"/>
                <w:sz w:val="18"/>
                <w:szCs w:val="18"/>
              </w:rPr>
              <w:br w:type="textWrapping"/>
            </w:r>
            <w:r>
              <w:rPr>
                <w:rFonts w:eastAsia="仿宋_GB2312"/>
                <w:color w:val="000000"/>
                <w:kern w:val="0"/>
                <w:sz w:val="18"/>
                <w:szCs w:val="18"/>
              </w:rPr>
              <w:t>②项目立项是否符合行业发展规划和政策要求；</w:t>
            </w:r>
            <w:r>
              <w:rPr>
                <w:rFonts w:eastAsia="仿宋_GB2312"/>
                <w:color w:val="000000"/>
                <w:kern w:val="0"/>
                <w:sz w:val="18"/>
                <w:szCs w:val="18"/>
              </w:rPr>
              <w:br w:type="textWrapping"/>
            </w:r>
            <w:r>
              <w:rPr>
                <w:rFonts w:eastAsia="仿宋_GB2312"/>
                <w:color w:val="000000"/>
                <w:kern w:val="0"/>
                <w:sz w:val="18"/>
                <w:szCs w:val="18"/>
              </w:rPr>
              <w:t>③项目立项是否与部门职责范围相符，属于部门履职所需；</w:t>
            </w:r>
            <w:r>
              <w:rPr>
                <w:rFonts w:eastAsia="仿宋_GB2312"/>
                <w:color w:val="000000"/>
                <w:kern w:val="0"/>
                <w:sz w:val="18"/>
                <w:szCs w:val="18"/>
              </w:rPr>
              <w:br w:type="textWrapping"/>
            </w:r>
            <w:r>
              <w:rPr>
                <w:rFonts w:eastAsia="仿宋_GB2312"/>
                <w:color w:val="000000"/>
                <w:kern w:val="0"/>
                <w:sz w:val="18"/>
                <w:szCs w:val="18"/>
              </w:rPr>
              <w:t>④项目是否属于公共财政支持范围，是否符合中央、地方事权支出责任划分原则；</w:t>
            </w:r>
            <w:r>
              <w:rPr>
                <w:rFonts w:eastAsia="仿宋_GB2312"/>
                <w:color w:val="000000"/>
                <w:kern w:val="0"/>
                <w:sz w:val="18"/>
                <w:szCs w:val="18"/>
              </w:rPr>
              <w:br w:type="textWrapping"/>
            </w:r>
            <w:r>
              <w:rPr>
                <w:rFonts w:eastAsia="仿宋_GB2312"/>
                <w:color w:val="000000"/>
                <w:kern w:val="0"/>
                <w:sz w:val="18"/>
                <w:szCs w:val="18"/>
              </w:rPr>
              <w:t>⑤项目是否与相关部门同类项目或部门内部相关项目重复。</w:t>
            </w:r>
          </w:p>
        </w:tc>
        <w:tc>
          <w:tcPr>
            <w:tcW w:w="483" w:type="pct"/>
            <w:shd w:val="clear" w:color="auto"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3</w:t>
            </w:r>
          </w:p>
        </w:tc>
        <w:tc>
          <w:tcPr>
            <w:tcW w:w="363" w:type="pct"/>
            <w:shd w:val="clear" w:color="auto"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72" w:type="pct"/>
            <w:vMerge w:val="continue"/>
            <w:shd w:val="clear" w:color="auto" w:fill="FFFFFF"/>
            <w:vAlign w:val="center"/>
          </w:tcPr>
          <w:p>
            <w:pPr>
              <w:spacing w:line="0" w:lineRule="atLeast"/>
              <w:jc w:val="center"/>
              <w:rPr>
                <w:rFonts w:eastAsia="仿宋_GB2312"/>
                <w:color w:val="000000"/>
                <w:kern w:val="0"/>
                <w:sz w:val="18"/>
                <w:szCs w:val="18"/>
              </w:rPr>
            </w:pPr>
          </w:p>
        </w:tc>
        <w:tc>
          <w:tcPr>
            <w:tcW w:w="370" w:type="pct"/>
            <w:vMerge w:val="continue"/>
            <w:shd w:val="clear" w:color="auto" w:fill="FFFFFF"/>
            <w:vAlign w:val="center"/>
          </w:tcPr>
          <w:p>
            <w:pPr>
              <w:widowControl/>
              <w:spacing w:line="0" w:lineRule="atLeast"/>
              <w:jc w:val="center"/>
              <w:rPr>
                <w:rFonts w:eastAsia="仿宋_GB2312"/>
                <w:color w:val="000000"/>
                <w:kern w:val="0"/>
                <w:sz w:val="18"/>
                <w:szCs w:val="18"/>
              </w:rPr>
            </w:pPr>
          </w:p>
        </w:tc>
        <w:tc>
          <w:tcPr>
            <w:tcW w:w="398" w:type="pct"/>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立项程序</w:t>
            </w:r>
          </w:p>
          <w:p>
            <w:pPr>
              <w:widowControl/>
              <w:spacing w:line="0" w:lineRule="atLeast"/>
              <w:jc w:val="center"/>
              <w:rPr>
                <w:rFonts w:eastAsia="仿宋_GB2312"/>
                <w:color w:val="000000"/>
                <w:kern w:val="0"/>
                <w:sz w:val="18"/>
                <w:szCs w:val="18"/>
              </w:rPr>
            </w:pPr>
            <w:r>
              <w:rPr>
                <w:rFonts w:eastAsia="仿宋_GB2312"/>
                <w:color w:val="000000"/>
                <w:kern w:val="0"/>
                <w:sz w:val="18"/>
                <w:szCs w:val="18"/>
              </w:rPr>
              <w:t>规范性</w:t>
            </w:r>
          </w:p>
        </w:tc>
        <w:tc>
          <w:tcPr>
            <w:tcW w:w="1135" w:type="pct"/>
            <w:shd w:val="clear" w:color="auto"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项目申请、设立过程是否符合相关要求，用以反映和考核项目立项的规范情况。</w:t>
            </w:r>
          </w:p>
        </w:tc>
        <w:tc>
          <w:tcPr>
            <w:tcW w:w="1877" w:type="pct"/>
            <w:shd w:val="clear" w:color="auto" w:fill="FFFFFF"/>
            <w:vAlign w:val="center"/>
          </w:tcPr>
          <w:p>
            <w:pPr>
              <w:widowControl/>
              <w:spacing w:line="0" w:lineRule="atLeast"/>
              <w:jc w:val="lef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①项目是否按照规定的程序申请设立；</w:t>
            </w:r>
            <w:r>
              <w:rPr>
                <w:rFonts w:eastAsia="仿宋_GB2312"/>
                <w:color w:val="000000"/>
                <w:kern w:val="0"/>
                <w:sz w:val="18"/>
                <w:szCs w:val="18"/>
              </w:rPr>
              <w:br w:type="textWrapping"/>
            </w:r>
            <w:r>
              <w:rPr>
                <w:rFonts w:eastAsia="仿宋_GB2312"/>
                <w:color w:val="000000"/>
                <w:kern w:val="0"/>
                <w:sz w:val="18"/>
                <w:szCs w:val="18"/>
              </w:rPr>
              <w:t>②审批文件、材料是否符合相关要求；</w:t>
            </w:r>
            <w:r>
              <w:rPr>
                <w:rFonts w:eastAsia="仿宋_GB2312"/>
                <w:color w:val="000000"/>
                <w:kern w:val="0"/>
                <w:sz w:val="18"/>
                <w:szCs w:val="18"/>
              </w:rPr>
              <w:br w:type="textWrapping"/>
            </w:r>
            <w:r>
              <w:rPr>
                <w:rFonts w:eastAsia="仿宋_GB2312"/>
                <w:color w:val="000000"/>
                <w:kern w:val="0"/>
                <w:sz w:val="18"/>
                <w:szCs w:val="18"/>
              </w:rPr>
              <w:t>③事前是否已经过必要的可行性研究、专家论证、风险评估、绩效评估、集体决策。</w:t>
            </w:r>
          </w:p>
        </w:tc>
        <w:tc>
          <w:tcPr>
            <w:tcW w:w="483" w:type="pct"/>
            <w:shd w:val="clear" w:color="auto"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3</w:t>
            </w:r>
          </w:p>
        </w:tc>
        <w:tc>
          <w:tcPr>
            <w:tcW w:w="363" w:type="pct"/>
            <w:shd w:val="clear" w:color="auto"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72" w:type="pct"/>
            <w:vMerge w:val="continue"/>
            <w:shd w:val="clear" w:color="auto" w:fill="FFFFFF"/>
            <w:vAlign w:val="center"/>
          </w:tcPr>
          <w:p>
            <w:pPr>
              <w:spacing w:line="0" w:lineRule="atLeast"/>
              <w:jc w:val="center"/>
              <w:rPr>
                <w:rFonts w:eastAsia="仿宋_GB2312"/>
                <w:color w:val="000000"/>
                <w:kern w:val="0"/>
                <w:sz w:val="18"/>
                <w:szCs w:val="18"/>
              </w:rPr>
            </w:pPr>
          </w:p>
        </w:tc>
        <w:tc>
          <w:tcPr>
            <w:tcW w:w="370" w:type="pct"/>
            <w:vMerge w:val="restart"/>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绩效目标　</w:t>
            </w:r>
          </w:p>
        </w:tc>
        <w:tc>
          <w:tcPr>
            <w:tcW w:w="398" w:type="pct"/>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绩效目标</w:t>
            </w:r>
          </w:p>
          <w:p>
            <w:pPr>
              <w:widowControl/>
              <w:spacing w:line="0" w:lineRule="atLeast"/>
              <w:jc w:val="center"/>
              <w:rPr>
                <w:rFonts w:eastAsia="仿宋_GB2312"/>
                <w:color w:val="000000"/>
                <w:kern w:val="0"/>
                <w:sz w:val="18"/>
                <w:szCs w:val="18"/>
              </w:rPr>
            </w:pPr>
            <w:r>
              <w:rPr>
                <w:rFonts w:eastAsia="仿宋_GB2312"/>
                <w:color w:val="000000"/>
                <w:kern w:val="0"/>
                <w:sz w:val="18"/>
                <w:szCs w:val="18"/>
              </w:rPr>
              <w:t>合理性</w:t>
            </w:r>
          </w:p>
        </w:tc>
        <w:tc>
          <w:tcPr>
            <w:tcW w:w="1135" w:type="pct"/>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项目所设定的绩效目标是否依据充分，是否符合客观实际，用以反映和考核项目绩效目标与项目实施的相符情况。</w:t>
            </w:r>
          </w:p>
        </w:tc>
        <w:tc>
          <w:tcPr>
            <w:tcW w:w="1877" w:type="pct"/>
            <w:shd w:val="clear" w:color="000000" w:fill="FFFFFF"/>
            <w:vAlign w:val="center"/>
          </w:tcPr>
          <w:p>
            <w:pPr>
              <w:widowControl/>
              <w:spacing w:line="0" w:lineRule="atLeast"/>
              <w:jc w:val="lef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（如未设定预算绩效目标，也可考核其他工作任务目标）</w:t>
            </w:r>
            <w:r>
              <w:rPr>
                <w:rFonts w:eastAsia="仿宋_GB2312"/>
                <w:color w:val="000000"/>
                <w:kern w:val="0"/>
                <w:sz w:val="18"/>
                <w:szCs w:val="18"/>
              </w:rPr>
              <w:br w:type="textWrapping"/>
            </w:r>
            <w:r>
              <w:rPr>
                <w:rFonts w:eastAsia="仿宋_GB2312"/>
                <w:color w:val="000000"/>
                <w:kern w:val="0"/>
                <w:sz w:val="18"/>
                <w:szCs w:val="18"/>
              </w:rPr>
              <w:t>①项目是否有绩效目标；</w:t>
            </w:r>
            <w:r>
              <w:rPr>
                <w:rFonts w:eastAsia="仿宋_GB2312"/>
                <w:color w:val="000000"/>
                <w:kern w:val="0"/>
                <w:sz w:val="18"/>
                <w:szCs w:val="18"/>
              </w:rPr>
              <w:br w:type="textWrapping"/>
            </w:r>
            <w:r>
              <w:rPr>
                <w:rFonts w:eastAsia="仿宋_GB2312"/>
                <w:color w:val="000000"/>
                <w:kern w:val="0"/>
                <w:sz w:val="18"/>
                <w:szCs w:val="18"/>
              </w:rPr>
              <w:t>②项目绩效目标与实际工作内容是否具有相关性；</w:t>
            </w:r>
            <w:r>
              <w:rPr>
                <w:rFonts w:eastAsia="仿宋_GB2312"/>
                <w:color w:val="000000"/>
                <w:kern w:val="0"/>
                <w:sz w:val="18"/>
                <w:szCs w:val="18"/>
              </w:rPr>
              <w:br w:type="textWrapping"/>
            </w:r>
            <w:r>
              <w:rPr>
                <w:rFonts w:eastAsia="仿宋_GB2312"/>
                <w:color w:val="000000"/>
                <w:kern w:val="0"/>
                <w:sz w:val="18"/>
                <w:szCs w:val="18"/>
              </w:rPr>
              <w:t>③项目预期产出效益和效果是否符合正常的业绩水平；</w:t>
            </w:r>
          </w:p>
          <w:p>
            <w:pPr>
              <w:widowControl/>
              <w:spacing w:line="0" w:lineRule="atLeast"/>
              <w:jc w:val="left"/>
              <w:rPr>
                <w:rFonts w:eastAsia="仿宋_GB2312"/>
                <w:color w:val="000000"/>
                <w:kern w:val="0"/>
                <w:sz w:val="18"/>
                <w:szCs w:val="18"/>
              </w:rPr>
            </w:pPr>
            <w:r>
              <w:rPr>
                <w:rFonts w:eastAsia="仿宋_GB2312"/>
                <w:color w:val="000000"/>
                <w:kern w:val="0"/>
                <w:sz w:val="18"/>
                <w:szCs w:val="18"/>
              </w:rPr>
              <w:t>④是否与预算确定的项目投资额或资金量相匹配。</w:t>
            </w:r>
          </w:p>
        </w:tc>
        <w:tc>
          <w:tcPr>
            <w:tcW w:w="483" w:type="pct"/>
            <w:shd w:val="clear" w:color="000000"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3</w:t>
            </w:r>
          </w:p>
        </w:tc>
        <w:tc>
          <w:tcPr>
            <w:tcW w:w="363" w:type="pct"/>
            <w:shd w:val="clear" w:color="000000"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10" w:hRule="atLeast"/>
          <w:jc w:val="center"/>
        </w:trPr>
        <w:tc>
          <w:tcPr>
            <w:tcW w:w="372" w:type="pct"/>
            <w:vMerge w:val="continue"/>
            <w:shd w:val="clear" w:color="auto" w:fill="FFFFFF"/>
            <w:vAlign w:val="center"/>
          </w:tcPr>
          <w:p>
            <w:pPr>
              <w:widowControl/>
              <w:spacing w:line="0" w:lineRule="atLeast"/>
              <w:jc w:val="center"/>
              <w:rPr>
                <w:rFonts w:eastAsia="仿宋_GB2312"/>
                <w:color w:val="000000"/>
                <w:kern w:val="0"/>
                <w:sz w:val="18"/>
                <w:szCs w:val="18"/>
              </w:rPr>
            </w:pPr>
          </w:p>
        </w:tc>
        <w:tc>
          <w:tcPr>
            <w:tcW w:w="370" w:type="pct"/>
            <w:vMerge w:val="continue"/>
            <w:shd w:val="clear" w:color="auto" w:fill="FFFFFF"/>
            <w:vAlign w:val="center"/>
          </w:tcPr>
          <w:p>
            <w:pPr>
              <w:widowControl/>
              <w:spacing w:line="0" w:lineRule="atLeast"/>
              <w:jc w:val="center"/>
              <w:rPr>
                <w:rFonts w:eastAsia="仿宋_GB2312"/>
                <w:color w:val="000000"/>
                <w:kern w:val="0"/>
                <w:sz w:val="18"/>
                <w:szCs w:val="18"/>
              </w:rPr>
            </w:pPr>
          </w:p>
        </w:tc>
        <w:tc>
          <w:tcPr>
            <w:tcW w:w="398" w:type="pct"/>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绩效指标</w:t>
            </w:r>
          </w:p>
          <w:p>
            <w:pPr>
              <w:widowControl/>
              <w:spacing w:line="0" w:lineRule="atLeast"/>
              <w:jc w:val="center"/>
              <w:rPr>
                <w:rFonts w:eastAsia="仿宋_GB2312"/>
                <w:color w:val="000000"/>
                <w:kern w:val="0"/>
                <w:sz w:val="18"/>
                <w:szCs w:val="18"/>
              </w:rPr>
            </w:pPr>
            <w:r>
              <w:rPr>
                <w:rFonts w:eastAsia="仿宋_GB2312"/>
                <w:color w:val="000000"/>
                <w:kern w:val="0"/>
                <w:sz w:val="18"/>
                <w:szCs w:val="18"/>
              </w:rPr>
              <w:t>明确性</w:t>
            </w:r>
          </w:p>
        </w:tc>
        <w:tc>
          <w:tcPr>
            <w:tcW w:w="1135" w:type="pct"/>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依据绩效目标设定的绩效指标是否清晰、细化、可衡量等，用以反映和考核项目绩效目标的明细化情况。</w:t>
            </w:r>
          </w:p>
        </w:tc>
        <w:tc>
          <w:tcPr>
            <w:tcW w:w="1877" w:type="pct"/>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①是否将项目绩效目标细化分解为具体的绩效指标；</w:t>
            </w:r>
            <w:r>
              <w:rPr>
                <w:rFonts w:eastAsia="仿宋_GB2312"/>
                <w:color w:val="000000"/>
                <w:kern w:val="0"/>
                <w:sz w:val="18"/>
                <w:szCs w:val="18"/>
              </w:rPr>
              <w:br w:type="textWrapping"/>
            </w:r>
            <w:r>
              <w:rPr>
                <w:rFonts w:eastAsia="仿宋_GB2312"/>
                <w:color w:val="000000"/>
                <w:kern w:val="0"/>
                <w:sz w:val="18"/>
                <w:szCs w:val="18"/>
              </w:rPr>
              <w:t>②是否通过清晰、可衡量的指标值予以体现；</w:t>
            </w:r>
            <w:r>
              <w:rPr>
                <w:rFonts w:eastAsia="仿宋_GB2312"/>
                <w:color w:val="000000"/>
                <w:kern w:val="0"/>
                <w:sz w:val="18"/>
                <w:szCs w:val="18"/>
              </w:rPr>
              <w:br w:type="textWrapping"/>
            </w:r>
            <w:r>
              <w:rPr>
                <w:rFonts w:eastAsia="仿宋_GB2312"/>
                <w:color w:val="000000"/>
                <w:kern w:val="0"/>
                <w:sz w:val="18"/>
                <w:szCs w:val="18"/>
              </w:rPr>
              <w:t>③是否与项目目标任务数或计划数相对应。</w:t>
            </w:r>
            <w:r>
              <w:rPr>
                <w:rFonts w:eastAsia="仿宋_GB2312"/>
                <w:color w:val="000000"/>
                <w:kern w:val="0"/>
                <w:sz w:val="18"/>
                <w:szCs w:val="18"/>
              </w:rPr>
              <w:br w:type="textWrapping"/>
            </w:r>
          </w:p>
        </w:tc>
        <w:tc>
          <w:tcPr>
            <w:tcW w:w="483" w:type="pct"/>
            <w:shd w:val="clear" w:color="000000"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3</w:t>
            </w:r>
          </w:p>
        </w:tc>
        <w:tc>
          <w:tcPr>
            <w:tcW w:w="363" w:type="pct"/>
            <w:shd w:val="clear" w:color="000000"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72" w:type="pct"/>
            <w:vMerge w:val="continue"/>
            <w:shd w:val="clear" w:color="auto" w:fill="FFFFFF"/>
            <w:vAlign w:val="center"/>
          </w:tcPr>
          <w:p>
            <w:pPr>
              <w:spacing w:line="0" w:lineRule="atLeast"/>
              <w:jc w:val="center"/>
              <w:rPr>
                <w:rFonts w:eastAsia="仿宋_GB2312"/>
                <w:color w:val="000000"/>
                <w:kern w:val="0"/>
                <w:sz w:val="18"/>
                <w:szCs w:val="18"/>
              </w:rPr>
            </w:pPr>
          </w:p>
        </w:tc>
        <w:tc>
          <w:tcPr>
            <w:tcW w:w="370" w:type="pct"/>
            <w:vMerge w:val="restart"/>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资金投入</w:t>
            </w:r>
          </w:p>
          <w:p>
            <w:pPr>
              <w:spacing w:line="0" w:lineRule="atLeast"/>
              <w:jc w:val="center"/>
              <w:rPr>
                <w:rFonts w:eastAsia="仿宋_GB2312"/>
                <w:color w:val="000000"/>
                <w:kern w:val="0"/>
                <w:sz w:val="18"/>
                <w:szCs w:val="18"/>
              </w:rPr>
            </w:pPr>
            <w:r>
              <w:rPr>
                <w:rFonts w:eastAsia="仿宋_GB2312"/>
                <w:color w:val="000000"/>
                <w:kern w:val="0"/>
                <w:sz w:val="18"/>
                <w:szCs w:val="18"/>
              </w:rPr>
              <w:t>　</w:t>
            </w:r>
          </w:p>
        </w:tc>
        <w:tc>
          <w:tcPr>
            <w:tcW w:w="398" w:type="pct"/>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预算编制</w:t>
            </w:r>
          </w:p>
          <w:p>
            <w:pPr>
              <w:widowControl/>
              <w:spacing w:line="0" w:lineRule="atLeast"/>
              <w:jc w:val="center"/>
              <w:rPr>
                <w:rFonts w:eastAsia="仿宋_GB2312"/>
                <w:color w:val="000000"/>
                <w:kern w:val="0"/>
                <w:sz w:val="18"/>
                <w:szCs w:val="18"/>
              </w:rPr>
            </w:pPr>
            <w:r>
              <w:rPr>
                <w:rFonts w:eastAsia="仿宋_GB2312"/>
                <w:color w:val="000000"/>
                <w:kern w:val="0"/>
                <w:sz w:val="18"/>
                <w:szCs w:val="18"/>
              </w:rPr>
              <w:t>科学性</w:t>
            </w:r>
          </w:p>
        </w:tc>
        <w:tc>
          <w:tcPr>
            <w:tcW w:w="1135" w:type="pct"/>
            <w:shd w:val="clear" w:color="auto"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项目预算编制是否经过科学论证、有明确标准，资金额度与年度目标是否相适应，用以反映和考核项目预算编制的科学性、合理性情况。</w:t>
            </w:r>
          </w:p>
        </w:tc>
        <w:tc>
          <w:tcPr>
            <w:tcW w:w="1877" w:type="pct"/>
            <w:shd w:val="clear" w:color="auto"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①预算编制是否经过科学论证；</w:t>
            </w:r>
            <w:r>
              <w:rPr>
                <w:rFonts w:eastAsia="仿宋_GB2312"/>
                <w:color w:val="000000"/>
                <w:kern w:val="0"/>
                <w:sz w:val="18"/>
                <w:szCs w:val="18"/>
              </w:rPr>
              <w:br w:type="textWrapping"/>
            </w:r>
            <w:r>
              <w:rPr>
                <w:rFonts w:eastAsia="仿宋_GB2312"/>
                <w:color w:val="000000"/>
                <w:kern w:val="0"/>
                <w:sz w:val="18"/>
                <w:szCs w:val="18"/>
              </w:rPr>
              <w:t>②预算内容与项目内容是否匹配；</w:t>
            </w:r>
            <w:r>
              <w:rPr>
                <w:rFonts w:eastAsia="仿宋_GB2312"/>
                <w:color w:val="000000"/>
                <w:kern w:val="0"/>
                <w:sz w:val="18"/>
                <w:szCs w:val="18"/>
              </w:rPr>
              <w:br w:type="textWrapping"/>
            </w:r>
            <w:r>
              <w:rPr>
                <w:rFonts w:eastAsia="仿宋_GB2312"/>
                <w:color w:val="000000"/>
                <w:kern w:val="0"/>
                <w:sz w:val="18"/>
                <w:szCs w:val="18"/>
              </w:rPr>
              <w:t>③预算额度测算依据是否充分，是否按照标准编制；</w:t>
            </w:r>
            <w:r>
              <w:rPr>
                <w:rFonts w:eastAsia="仿宋_GB2312"/>
                <w:color w:val="000000"/>
                <w:kern w:val="0"/>
                <w:sz w:val="18"/>
                <w:szCs w:val="18"/>
              </w:rPr>
              <w:br w:type="textWrapping"/>
            </w:r>
            <w:r>
              <w:rPr>
                <w:rFonts w:eastAsia="仿宋_GB2312"/>
                <w:color w:val="000000"/>
                <w:kern w:val="0"/>
                <w:sz w:val="18"/>
                <w:szCs w:val="18"/>
              </w:rPr>
              <w:t>④预算确定的项目投资额或资金量是否与工作任务相匹配。</w:t>
            </w:r>
          </w:p>
        </w:tc>
        <w:tc>
          <w:tcPr>
            <w:tcW w:w="483" w:type="pct"/>
            <w:shd w:val="clear" w:color="auto"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c>
          <w:tcPr>
            <w:tcW w:w="363" w:type="pct"/>
            <w:shd w:val="clear" w:color="auto"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11" w:hRule="atLeast"/>
          <w:jc w:val="center"/>
        </w:trPr>
        <w:tc>
          <w:tcPr>
            <w:tcW w:w="372" w:type="pct"/>
            <w:vMerge w:val="continue"/>
            <w:shd w:val="clear" w:color="auto" w:fill="FFFFFF"/>
            <w:vAlign w:val="center"/>
          </w:tcPr>
          <w:p>
            <w:pPr>
              <w:widowControl/>
              <w:spacing w:line="0" w:lineRule="atLeast"/>
              <w:jc w:val="center"/>
              <w:rPr>
                <w:rFonts w:eastAsia="仿宋_GB2312"/>
                <w:color w:val="000000"/>
                <w:kern w:val="0"/>
                <w:sz w:val="18"/>
                <w:szCs w:val="18"/>
              </w:rPr>
            </w:pPr>
          </w:p>
        </w:tc>
        <w:tc>
          <w:tcPr>
            <w:tcW w:w="370" w:type="pct"/>
            <w:vMerge w:val="continue"/>
            <w:shd w:val="clear" w:color="auto" w:fill="FFFFFF"/>
            <w:vAlign w:val="center"/>
          </w:tcPr>
          <w:p>
            <w:pPr>
              <w:widowControl/>
              <w:spacing w:line="0" w:lineRule="atLeast"/>
              <w:jc w:val="center"/>
              <w:rPr>
                <w:rFonts w:eastAsia="仿宋_GB2312"/>
                <w:color w:val="000000"/>
                <w:kern w:val="0"/>
                <w:sz w:val="18"/>
                <w:szCs w:val="18"/>
              </w:rPr>
            </w:pPr>
          </w:p>
        </w:tc>
        <w:tc>
          <w:tcPr>
            <w:tcW w:w="398" w:type="pct"/>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资金分配</w:t>
            </w:r>
          </w:p>
          <w:p>
            <w:pPr>
              <w:widowControl/>
              <w:spacing w:line="0" w:lineRule="atLeast"/>
              <w:jc w:val="center"/>
              <w:rPr>
                <w:rFonts w:eastAsia="仿宋_GB2312"/>
                <w:color w:val="000000"/>
                <w:kern w:val="0"/>
                <w:sz w:val="18"/>
                <w:szCs w:val="18"/>
              </w:rPr>
            </w:pPr>
            <w:r>
              <w:rPr>
                <w:rFonts w:eastAsia="仿宋_GB2312"/>
                <w:color w:val="000000"/>
                <w:kern w:val="0"/>
                <w:sz w:val="18"/>
                <w:szCs w:val="18"/>
              </w:rPr>
              <w:t>合理性</w:t>
            </w:r>
          </w:p>
        </w:tc>
        <w:tc>
          <w:tcPr>
            <w:tcW w:w="1135" w:type="pct"/>
            <w:shd w:val="clear" w:color="auto"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项目预算资金分配是否有测算依据，与补助单位或地方实际是否相适应，用以反映和考核项目预算资金分配的科学性、合理性情况。</w:t>
            </w:r>
          </w:p>
        </w:tc>
        <w:tc>
          <w:tcPr>
            <w:tcW w:w="1877" w:type="pct"/>
            <w:shd w:val="clear" w:color="auto"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①预算资金分配依据是否充分；</w:t>
            </w:r>
            <w:r>
              <w:rPr>
                <w:rFonts w:eastAsia="仿宋_GB2312"/>
                <w:color w:val="000000"/>
                <w:kern w:val="0"/>
                <w:sz w:val="18"/>
                <w:szCs w:val="18"/>
              </w:rPr>
              <w:br w:type="textWrapping"/>
            </w:r>
            <w:r>
              <w:rPr>
                <w:rFonts w:eastAsia="仿宋_GB2312"/>
                <w:color w:val="000000"/>
                <w:kern w:val="0"/>
                <w:sz w:val="18"/>
                <w:szCs w:val="18"/>
              </w:rPr>
              <w:t>②资金分配额度是否合理，与项目单位或地方实际是否相适应。</w:t>
            </w:r>
          </w:p>
        </w:tc>
        <w:tc>
          <w:tcPr>
            <w:tcW w:w="483" w:type="pct"/>
            <w:shd w:val="clear" w:color="auto"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c>
          <w:tcPr>
            <w:tcW w:w="363" w:type="pct"/>
            <w:shd w:val="clear" w:color="auto"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80" w:hRule="atLeast"/>
          <w:jc w:val="center"/>
        </w:trPr>
        <w:tc>
          <w:tcPr>
            <w:tcW w:w="372" w:type="pct"/>
            <w:vMerge w:val="restart"/>
            <w:shd w:val="clear" w:color="auto" w:fill="FFFFFF"/>
            <w:vAlign w:val="center"/>
          </w:tcPr>
          <w:p>
            <w:pPr>
              <w:spacing w:line="0" w:lineRule="atLeast"/>
              <w:jc w:val="center"/>
              <w:rPr>
                <w:rFonts w:eastAsia="仿宋_GB2312"/>
                <w:color w:val="000000"/>
                <w:kern w:val="0"/>
                <w:sz w:val="18"/>
                <w:szCs w:val="18"/>
              </w:rPr>
            </w:pPr>
          </w:p>
          <w:p>
            <w:pPr>
              <w:spacing w:line="0" w:lineRule="atLeast"/>
              <w:jc w:val="center"/>
              <w:rPr>
                <w:rFonts w:eastAsia="仿宋_GB2312"/>
                <w:color w:val="000000"/>
                <w:kern w:val="0"/>
                <w:sz w:val="18"/>
                <w:szCs w:val="18"/>
              </w:rPr>
            </w:pPr>
          </w:p>
          <w:p>
            <w:pPr>
              <w:spacing w:line="0" w:lineRule="atLeast"/>
              <w:jc w:val="center"/>
              <w:rPr>
                <w:rFonts w:eastAsia="仿宋_GB2312"/>
                <w:color w:val="000000"/>
                <w:kern w:val="0"/>
                <w:sz w:val="18"/>
                <w:szCs w:val="18"/>
              </w:rPr>
            </w:pPr>
          </w:p>
          <w:p>
            <w:pPr>
              <w:spacing w:line="0" w:lineRule="atLeast"/>
              <w:jc w:val="center"/>
              <w:rPr>
                <w:rFonts w:eastAsia="仿宋_GB2312"/>
                <w:color w:val="000000"/>
                <w:kern w:val="0"/>
                <w:sz w:val="18"/>
                <w:szCs w:val="18"/>
              </w:rPr>
            </w:pPr>
          </w:p>
          <w:p>
            <w:pPr>
              <w:spacing w:line="0" w:lineRule="atLeast"/>
              <w:jc w:val="center"/>
              <w:rPr>
                <w:rFonts w:eastAsia="仿宋_GB2312"/>
                <w:color w:val="000000"/>
                <w:kern w:val="0"/>
                <w:sz w:val="18"/>
                <w:szCs w:val="18"/>
              </w:rPr>
            </w:pPr>
          </w:p>
          <w:p>
            <w:pPr>
              <w:spacing w:line="0" w:lineRule="atLeast"/>
              <w:jc w:val="center"/>
              <w:rPr>
                <w:rFonts w:eastAsia="仿宋_GB2312"/>
                <w:color w:val="000000"/>
                <w:kern w:val="0"/>
                <w:sz w:val="18"/>
                <w:szCs w:val="18"/>
              </w:rPr>
            </w:pPr>
          </w:p>
          <w:p>
            <w:pPr>
              <w:spacing w:line="0" w:lineRule="atLeast"/>
              <w:jc w:val="center"/>
              <w:rPr>
                <w:rFonts w:eastAsia="仿宋_GB2312"/>
                <w:color w:val="000000"/>
                <w:kern w:val="0"/>
                <w:sz w:val="18"/>
                <w:szCs w:val="18"/>
              </w:rPr>
            </w:pPr>
          </w:p>
          <w:p>
            <w:pPr>
              <w:spacing w:line="0" w:lineRule="atLeast"/>
              <w:jc w:val="center"/>
              <w:rPr>
                <w:rFonts w:eastAsia="仿宋_GB2312"/>
                <w:color w:val="000000"/>
                <w:kern w:val="0"/>
                <w:sz w:val="18"/>
                <w:szCs w:val="18"/>
              </w:rPr>
            </w:pPr>
          </w:p>
          <w:p>
            <w:pPr>
              <w:spacing w:line="0" w:lineRule="atLeast"/>
              <w:jc w:val="center"/>
              <w:rPr>
                <w:rFonts w:eastAsia="仿宋_GB2312"/>
                <w:color w:val="000000"/>
                <w:kern w:val="0"/>
                <w:sz w:val="18"/>
                <w:szCs w:val="18"/>
              </w:rPr>
            </w:pPr>
          </w:p>
          <w:p>
            <w:pPr>
              <w:spacing w:line="0" w:lineRule="atLeast"/>
              <w:jc w:val="center"/>
              <w:rPr>
                <w:rFonts w:eastAsia="仿宋_GB2312"/>
                <w:color w:val="000000"/>
                <w:kern w:val="0"/>
                <w:sz w:val="18"/>
                <w:szCs w:val="18"/>
              </w:rPr>
            </w:pPr>
          </w:p>
          <w:p>
            <w:pPr>
              <w:spacing w:line="0" w:lineRule="atLeast"/>
              <w:jc w:val="center"/>
              <w:rPr>
                <w:rFonts w:eastAsia="仿宋_GB2312"/>
                <w:color w:val="000000"/>
                <w:kern w:val="0"/>
                <w:sz w:val="18"/>
                <w:szCs w:val="18"/>
              </w:rPr>
            </w:pPr>
          </w:p>
          <w:p>
            <w:pPr>
              <w:spacing w:line="0" w:lineRule="atLeast"/>
              <w:jc w:val="center"/>
              <w:rPr>
                <w:rFonts w:eastAsia="仿宋_GB2312"/>
                <w:color w:val="000000"/>
                <w:kern w:val="0"/>
                <w:sz w:val="18"/>
                <w:szCs w:val="18"/>
              </w:rPr>
            </w:pPr>
          </w:p>
          <w:p>
            <w:pPr>
              <w:spacing w:line="0" w:lineRule="atLeast"/>
              <w:jc w:val="center"/>
              <w:rPr>
                <w:rFonts w:eastAsia="仿宋_GB2312"/>
                <w:color w:val="000000"/>
                <w:kern w:val="0"/>
                <w:sz w:val="18"/>
                <w:szCs w:val="18"/>
              </w:rPr>
            </w:pPr>
          </w:p>
          <w:p>
            <w:pPr>
              <w:spacing w:line="0" w:lineRule="atLeast"/>
              <w:jc w:val="center"/>
              <w:rPr>
                <w:rFonts w:eastAsia="仿宋_GB2312"/>
                <w:color w:val="000000"/>
                <w:kern w:val="0"/>
                <w:sz w:val="18"/>
                <w:szCs w:val="18"/>
              </w:rPr>
            </w:pPr>
          </w:p>
          <w:p>
            <w:pPr>
              <w:spacing w:line="0" w:lineRule="atLeast"/>
              <w:jc w:val="center"/>
              <w:rPr>
                <w:rFonts w:eastAsia="仿宋_GB2312"/>
                <w:color w:val="000000"/>
                <w:kern w:val="0"/>
                <w:sz w:val="18"/>
                <w:szCs w:val="18"/>
              </w:rPr>
            </w:pPr>
          </w:p>
          <w:p>
            <w:pPr>
              <w:spacing w:line="0" w:lineRule="atLeast"/>
              <w:jc w:val="center"/>
              <w:rPr>
                <w:rFonts w:eastAsia="仿宋_GB2312"/>
                <w:color w:val="000000"/>
                <w:kern w:val="0"/>
                <w:sz w:val="18"/>
                <w:szCs w:val="18"/>
              </w:rPr>
            </w:pPr>
            <w:r>
              <w:rPr>
                <w:rFonts w:eastAsia="仿宋_GB2312"/>
                <w:color w:val="000000"/>
                <w:kern w:val="0"/>
                <w:sz w:val="18"/>
                <w:szCs w:val="18"/>
              </w:rPr>
              <w:t>过程</w:t>
            </w:r>
          </w:p>
          <w:p>
            <w:pPr>
              <w:widowControl/>
              <w:spacing w:line="0" w:lineRule="atLeast"/>
              <w:jc w:val="center"/>
              <w:rPr>
                <w:rFonts w:eastAsia="仿宋_GB2312"/>
                <w:color w:val="000000"/>
                <w:kern w:val="0"/>
                <w:sz w:val="18"/>
                <w:szCs w:val="18"/>
              </w:rPr>
            </w:pPr>
            <w:r>
              <w:rPr>
                <w:rFonts w:eastAsia="仿宋_GB2312"/>
                <w:color w:val="000000"/>
                <w:kern w:val="0"/>
                <w:sz w:val="18"/>
                <w:szCs w:val="18"/>
              </w:rPr>
              <w:t>　　</w:t>
            </w:r>
          </w:p>
        </w:tc>
        <w:tc>
          <w:tcPr>
            <w:tcW w:w="370" w:type="pct"/>
            <w:vMerge w:val="restart"/>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资金管理</w:t>
            </w:r>
          </w:p>
        </w:tc>
        <w:tc>
          <w:tcPr>
            <w:tcW w:w="398" w:type="pct"/>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资金到位率</w:t>
            </w:r>
          </w:p>
        </w:tc>
        <w:tc>
          <w:tcPr>
            <w:tcW w:w="1135" w:type="pct"/>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实际到位资金与预算资金的比率，用以反映和考核资金落实情况对项目实施的总体保障程度。</w:t>
            </w:r>
          </w:p>
        </w:tc>
        <w:tc>
          <w:tcPr>
            <w:tcW w:w="1877" w:type="pct"/>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资金到位率=（实际到位资金/预算资金）×100%。</w:t>
            </w:r>
          </w:p>
          <w:p>
            <w:pPr>
              <w:widowControl/>
              <w:spacing w:line="0" w:lineRule="atLeast"/>
              <w:rPr>
                <w:rFonts w:eastAsia="仿宋_GB2312"/>
                <w:color w:val="000000"/>
                <w:kern w:val="0"/>
                <w:sz w:val="18"/>
                <w:szCs w:val="18"/>
              </w:rPr>
            </w:pPr>
            <w:r>
              <w:rPr>
                <w:rFonts w:eastAsia="仿宋_GB2312"/>
                <w:color w:val="000000"/>
                <w:kern w:val="0"/>
                <w:sz w:val="18"/>
                <w:szCs w:val="18"/>
              </w:rPr>
              <w:t>实际到位资金：一定时期（本年度或项目期）内落实到具体项目的资金。</w:t>
            </w:r>
          </w:p>
          <w:p>
            <w:pPr>
              <w:widowControl/>
              <w:spacing w:line="0" w:lineRule="atLeast"/>
              <w:rPr>
                <w:rFonts w:eastAsia="仿宋_GB2312"/>
                <w:color w:val="000000"/>
                <w:kern w:val="0"/>
                <w:sz w:val="18"/>
                <w:szCs w:val="18"/>
              </w:rPr>
            </w:pPr>
            <w:r>
              <w:rPr>
                <w:rFonts w:eastAsia="仿宋_GB2312"/>
                <w:color w:val="000000"/>
                <w:kern w:val="0"/>
                <w:sz w:val="18"/>
                <w:szCs w:val="18"/>
              </w:rPr>
              <w:t>预算资金：一定时期（本年度或项目期）内预算安排到具体项目的资金。</w:t>
            </w:r>
          </w:p>
        </w:tc>
        <w:tc>
          <w:tcPr>
            <w:tcW w:w="483" w:type="pct"/>
            <w:shd w:val="clear" w:color="000000"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c>
          <w:tcPr>
            <w:tcW w:w="363" w:type="pct"/>
            <w:shd w:val="clear" w:color="000000"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15" w:hRule="atLeast"/>
          <w:jc w:val="center"/>
        </w:trPr>
        <w:tc>
          <w:tcPr>
            <w:tcW w:w="372" w:type="pct"/>
            <w:vMerge w:val="continue"/>
            <w:shd w:val="clear" w:color="auto" w:fill="FFFFFF"/>
            <w:vAlign w:val="center"/>
          </w:tcPr>
          <w:p>
            <w:pPr>
              <w:spacing w:line="0" w:lineRule="atLeast"/>
              <w:jc w:val="center"/>
              <w:rPr>
                <w:rFonts w:eastAsia="仿宋_GB2312"/>
                <w:color w:val="000000"/>
                <w:kern w:val="0"/>
                <w:sz w:val="18"/>
                <w:szCs w:val="18"/>
              </w:rPr>
            </w:pPr>
          </w:p>
        </w:tc>
        <w:tc>
          <w:tcPr>
            <w:tcW w:w="370" w:type="pct"/>
            <w:vMerge w:val="continue"/>
            <w:shd w:val="clear" w:color="auto" w:fill="FFFFFF"/>
            <w:vAlign w:val="center"/>
          </w:tcPr>
          <w:p>
            <w:pPr>
              <w:spacing w:line="0" w:lineRule="atLeast"/>
              <w:jc w:val="center"/>
              <w:rPr>
                <w:rFonts w:eastAsia="仿宋_GB2312"/>
                <w:color w:val="000000"/>
                <w:kern w:val="0"/>
                <w:sz w:val="18"/>
                <w:szCs w:val="18"/>
              </w:rPr>
            </w:pPr>
          </w:p>
        </w:tc>
        <w:tc>
          <w:tcPr>
            <w:tcW w:w="398" w:type="pct"/>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预算执行率</w:t>
            </w:r>
          </w:p>
        </w:tc>
        <w:tc>
          <w:tcPr>
            <w:tcW w:w="1135" w:type="pct"/>
            <w:shd w:val="clear" w:color="auto"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项目预算资金是否按照计划执行，用以反映或考核项目预算执行情况。</w:t>
            </w:r>
          </w:p>
        </w:tc>
        <w:tc>
          <w:tcPr>
            <w:tcW w:w="1877" w:type="pct"/>
            <w:shd w:val="clear" w:color="auto"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预算执行率=（实际支出资金/实际到位资金）×100%。</w:t>
            </w:r>
            <w:r>
              <w:rPr>
                <w:rFonts w:eastAsia="仿宋_GB2312"/>
                <w:color w:val="000000"/>
                <w:kern w:val="0"/>
                <w:sz w:val="18"/>
                <w:szCs w:val="18"/>
              </w:rPr>
              <w:br w:type="textWrapping"/>
            </w:r>
            <w:r>
              <w:rPr>
                <w:rFonts w:eastAsia="仿宋_GB2312"/>
                <w:color w:val="000000"/>
                <w:kern w:val="0"/>
                <w:sz w:val="18"/>
                <w:szCs w:val="18"/>
              </w:rPr>
              <w:t>实际支出资金：一定时期（本年度或项目期）内项目实际拨付的资金。</w:t>
            </w:r>
          </w:p>
        </w:tc>
        <w:tc>
          <w:tcPr>
            <w:tcW w:w="483" w:type="pct"/>
            <w:shd w:val="clear" w:color="auto"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c>
          <w:tcPr>
            <w:tcW w:w="363" w:type="pct"/>
            <w:shd w:val="clear" w:color="auto"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46" w:hRule="atLeast"/>
          <w:jc w:val="center"/>
        </w:trPr>
        <w:tc>
          <w:tcPr>
            <w:tcW w:w="372" w:type="pct"/>
            <w:vMerge w:val="continue"/>
            <w:shd w:val="clear" w:color="auto" w:fill="FFFFFF"/>
            <w:vAlign w:val="center"/>
          </w:tcPr>
          <w:p>
            <w:pPr>
              <w:spacing w:line="0" w:lineRule="atLeast"/>
              <w:jc w:val="center"/>
              <w:rPr>
                <w:rFonts w:eastAsia="仿宋_GB2312"/>
                <w:color w:val="000000"/>
                <w:kern w:val="0"/>
                <w:sz w:val="18"/>
                <w:szCs w:val="18"/>
              </w:rPr>
            </w:pPr>
          </w:p>
        </w:tc>
        <w:tc>
          <w:tcPr>
            <w:tcW w:w="370" w:type="pct"/>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资金管理</w:t>
            </w:r>
          </w:p>
        </w:tc>
        <w:tc>
          <w:tcPr>
            <w:tcW w:w="398" w:type="pct"/>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资金使用</w:t>
            </w:r>
          </w:p>
          <w:p>
            <w:pPr>
              <w:widowControl/>
              <w:spacing w:line="0" w:lineRule="atLeast"/>
              <w:jc w:val="center"/>
              <w:rPr>
                <w:rFonts w:eastAsia="仿宋_GB2312"/>
                <w:color w:val="000000"/>
                <w:kern w:val="0"/>
                <w:sz w:val="18"/>
                <w:szCs w:val="18"/>
              </w:rPr>
            </w:pPr>
            <w:r>
              <w:rPr>
                <w:rFonts w:eastAsia="仿宋_GB2312"/>
                <w:color w:val="000000"/>
                <w:kern w:val="0"/>
                <w:sz w:val="18"/>
                <w:szCs w:val="18"/>
              </w:rPr>
              <w:t>合规性</w:t>
            </w:r>
          </w:p>
        </w:tc>
        <w:tc>
          <w:tcPr>
            <w:tcW w:w="1135" w:type="pct"/>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项目资金使用是否符合相关的财务管理制度规定，用以反映和考核项目资金的规范运行情况。</w:t>
            </w:r>
          </w:p>
        </w:tc>
        <w:tc>
          <w:tcPr>
            <w:tcW w:w="1877" w:type="pct"/>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①是否符合国家财经法规和财务管理制度以及有关专项资金管理办法的规定；</w:t>
            </w:r>
            <w:r>
              <w:rPr>
                <w:rFonts w:eastAsia="仿宋_GB2312"/>
                <w:color w:val="000000"/>
                <w:kern w:val="0"/>
                <w:sz w:val="18"/>
                <w:szCs w:val="18"/>
              </w:rPr>
              <w:br w:type="textWrapping"/>
            </w:r>
            <w:r>
              <w:rPr>
                <w:rFonts w:eastAsia="仿宋_GB2312"/>
                <w:color w:val="000000"/>
                <w:kern w:val="0"/>
                <w:sz w:val="18"/>
                <w:szCs w:val="18"/>
              </w:rPr>
              <w:t>②资金的拨付是否有完整的审批程序和手续；</w:t>
            </w:r>
            <w:r>
              <w:rPr>
                <w:rFonts w:eastAsia="仿宋_GB2312"/>
                <w:color w:val="000000"/>
                <w:kern w:val="0"/>
                <w:sz w:val="18"/>
                <w:szCs w:val="18"/>
              </w:rPr>
              <w:br w:type="textWrapping"/>
            </w:r>
            <w:r>
              <w:rPr>
                <w:rFonts w:eastAsia="仿宋_GB2312"/>
                <w:color w:val="000000"/>
                <w:kern w:val="0"/>
                <w:sz w:val="18"/>
                <w:szCs w:val="18"/>
              </w:rPr>
              <w:t>③是否符合项目预算批复或合同规定的用途；</w:t>
            </w:r>
            <w:r>
              <w:rPr>
                <w:rFonts w:eastAsia="仿宋_GB2312"/>
                <w:color w:val="000000"/>
                <w:kern w:val="0"/>
                <w:sz w:val="18"/>
                <w:szCs w:val="18"/>
              </w:rPr>
              <w:br w:type="textWrapping"/>
            </w:r>
            <w:r>
              <w:rPr>
                <w:rFonts w:eastAsia="仿宋_GB2312"/>
                <w:color w:val="000000"/>
                <w:kern w:val="0"/>
                <w:sz w:val="18"/>
                <w:szCs w:val="18"/>
              </w:rPr>
              <w:t>④是否存在截留、挤占、挪用、虚列支出等情况。</w:t>
            </w:r>
          </w:p>
        </w:tc>
        <w:tc>
          <w:tcPr>
            <w:tcW w:w="483" w:type="pct"/>
            <w:shd w:val="clear" w:color="000000"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c>
          <w:tcPr>
            <w:tcW w:w="363" w:type="pct"/>
            <w:shd w:val="clear" w:color="000000"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82" w:hRule="atLeast"/>
          <w:jc w:val="center"/>
        </w:trPr>
        <w:tc>
          <w:tcPr>
            <w:tcW w:w="372" w:type="pct"/>
            <w:vMerge w:val="continue"/>
            <w:shd w:val="clear" w:color="auto" w:fill="FFFFFF"/>
            <w:vAlign w:val="center"/>
          </w:tcPr>
          <w:p>
            <w:pPr>
              <w:spacing w:line="0" w:lineRule="atLeast"/>
              <w:jc w:val="center"/>
              <w:rPr>
                <w:rFonts w:eastAsia="仿宋_GB2312"/>
                <w:color w:val="000000"/>
                <w:kern w:val="0"/>
                <w:sz w:val="18"/>
                <w:szCs w:val="18"/>
              </w:rPr>
            </w:pPr>
          </w:p>
        </w:tc>
        <w:tc>
          <w:tcPr>
            <w:tcW w:w="370" w:type="pct"/>
            <w:vMerge w:val="restart"/>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组织实施</w:t>
            </w:r>
          </w:p>
          <w:p>
            <w:pPr>
              <w:spacing w:line="0" w:lineRule="atLeast"/>
              <w:jc w:val="center"/>
              <w:rPr>
                <w:rFonts w:eastAsia="仿宋_GB2312"/>
                <w:color w:val="000000"/>
                <w:kern w:val="0"/>
                <w:sz w:val="18"/>
                <w:szCs w:val="18"/>
              </w:rPr>
            </w:pPr>
            <w:r>
              <w:rPr>
                <w:rFonts w:eastAsia="仿宋_GB2312"/>
                <w:color w:val="000000"/>
                <w:kern w:val="0"/>
                <w:sz w:val="18"/>
                <w:szCs w:val="18"/>
              </w:rPr>
              <w:t>　</w:t>
            </w:r>
          </w:p>
        </w:tc>
        <w:tc>
          <w:tcPr>
            <w:tcW w:w="398" w:type="pct"/>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管理制度</w:t>
            </w:r>
          </w:p>
          <w:p>
            <w:pPr>
              <w:widowControl/>
              <w:spacing w:line="0" w:lineRule="atLeast"/>
              <w:jc w:val="center"/>
              <w:rPr>
                <w:rFonts w:eastAsia="仿宋_GB2312"/>
                <w:color w:val="000000"/>
                <w:kern w:val="0"/>
                <w:sz w:val="18"/>
                <w:szCs w:val="18"/>
              </w:rPr>
            </w:pPr>
            <w:r>
              <w:rPr>
                <w:rFonts w:eastAsia="仿宋_GB2312"/>
                <w:color w:val="000000"/>
                <w:kern w:val="0"/>
                <w:sz w:val="18"/>
                <w:szCs w:val="18"/>
              </w:rPr>
              <w:t>健全性</w:t>
            </w:r>
          </w:p>
        </w:tc>
        <w:tc>
          <w:tcPr>
            <w:tcW w:w="1135" w:type="pct"/>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项目实施单位的财务和业务管理制度是否健全，用以反映和考核财务和业务管理制度对项目顺利实施的保障情况。</w:t>
            </w:r>
          </w:p>
        </w:tc>
        <w:tc>
          <w:tcPr>
            <w:tcW w:w="1877" w:type="pct"/>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①是否已制定或具有相应的财务和业务管理制度；</w:t>
            </w:r>
            <w:r>
              <w:rPr>
                <w:rFonts w:eastAsia="仿宋_GB2312"/>
                <w:color w:val="000000"/>
                <w:kern w:val="0"/>
                <w:sz w:val="18"/>
                <w:szCs w:val="18"/>
              </w:rPr>
              <w:br w:type="textWrapping"/>
            </w:r>
            <w:r>
              <w:rPr>
                <w:rFonts w:eastAsia="仿宋_GB2312"/>
                <w:color w:val="000000"/>
                <w:kern w:val="0"/>
                <w:sz w:val="18"/>
                <w:szCs w:val="18"/>
              </w:rPr>
              <w:t>②财务和业务管理制度是否合法、合规、完整。</w:t>
            </w:r>
          </w:p>
        </w:tc>
        <w:tc>
          <w:tcPr>
            <w:tcW w:w="483" w:type="pct"/>
            <w:shd w:val="clear" w:color="000000"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c>
          <w:tcPr>
            <w:tcW w:w="363" w:type="pct"/>
            <w:shd w:val="clear" w:color="000000"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72" w:type="pct"/>
            <w:vMerge w:val="continue"/>
            <w:shd w:val="clear" w:color="auto" w:fill="FFFFFF"/>
            <w:vAlign w:val="center"/>
          </w:tcPr>
          <w:p>
            <w:pPr>
              <w:widowControl/>
              <w:spacing w:line="0" w:lineRule="atLeast"/>
              <w:jc w:val="center"/>
              <w:rPr>
                <w:rFonts w:eastAsia="仿宋_GB2312"/>
                <w:color w:val="000000"/>
                <w:kern w:val="0"/>
                <w:sz w:val="18"/>
                <w:szCs w:val="18"/>
              </w:rPr>
            </w:pPr>
          </w:p>
        </w:tc>
        <w:tc>
          <w:tcPr>
            <w:tcW w:w="370" w:type="pct"/>
            <w:vMerge w:val="continue"/>
            <w:shd w:val="clear" w:color="auto" w:fill="FFFFFF"/>
            <w:vAlign w:val="center"/>
          </w:tcPr>
          <w:p>
            <w:pPr>
              <w:widowControl/>
              <w:spacing w:line="0" w:lineRule="atLeast"/>
              <w:jc w:val="center"/>
              <w:rPr>
                <w:rFonts w:eastAsia="仿宋_GB2312"/>
                <w:color w:val="000000"/>
                <w:kern w:val="0"/>
                <w:sz w:val="18"/>
                <w:szCs w:val="18"/>
              </w:rPr>
            </w:pPr>
          </w:p>
        </w:tc>
        <w:tc>
          <w:tcPr>
            <w:tcW w:w="398" w:type="pct"/>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制度执行</w:t>
            </w:r>
          </w:p>
          <w:p>
            <w:pPr>
              <w:widowControl/>
              <w:spacing w:line="0" w:lineRule="atLeast"/>
              <w:jc w:val="center"/>
              <w:rPr>
                <w:rFonts w:eastAsia="仿宋_GB2312"/>
                <w:color w:val="000000"/>
                <w:kern w:val="0"/>
                <w:sz w:val="18"/>
                <w:szCs w:val="18"/>
              </w:rPr>
            </w:pPr>
            <w:r>
              <w:rPr>
                <w:rFonts w:eastAsia="仿宋_GB2312"/>
                <w:color w:val="000000"/>
                <w:kern w:val="0"/>
                <w:sz w:val="18"/>
                <w:szCs w:val="18"/>
              </w:rPr>
              <w:t>有效性</w:t>
            </w:r>
          </w:p>
        </w:tc>
        <w:tc>
          <w:tcPr>
            <w:tcW w:w="1135" w:type="pct"/>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项目实施是否符合相关管理规定，用以反映和考核相关管理制度的有效执行情况。</w:t>
            </w:r>
          </w:p>
        </w:tc>
        <w:tc>
          <w:tcPr>
            <w:tcW w:w="1877" w:type="pct"/>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①是否遵守相关法律法规和相关管理规定；</w:t>
            </w:r>
            <w:r>
              <w:rPr>
                <w:rFonts w:eastAsia="仿宋_GB2312"/>
                <w:color w:val="000000"/>
                <w:kern w:val="0"/>
                <w:sz w:val="18"/>
                <w:szCs w:val="18"/>
              </w:rPr>
              <w:br w:type="textWrapping"/>
            </w:r>
            <w:r>
              <w:rPr>
                <w:rFonts w:eastAsia="仿宋_GB2312"/>
                <w:color w:val="000000"/>
                <w:kern w:val="0"/>
                <w:sz w:val="18"/>
                <w:szCs w:val="18"/>
              </w:rPr>
              <w:t>②项目调整及支出调整手续是否完备；</w:t>
            </w:r>
            <w:r>
              <w:rPr>
                <w:rFonts w:eastAsia="仿宋_GB2312"/>
                <w:color w:val="000000"/>
                <w:kern w:val="0"/>
                <w:sz w:val="18"/>
                <w:szCs w:val="18"/>
              </w:rPr>
              <w:br w:type="textWrapping"/>
            </w:r>
            <w:r>
              <w:rPr>
                <w:rFonts w:eastAsia="仿宋_GB2312"/>
                <w:color w:val="000000"/>
                <w:kern w:val="0"/>
                <w:sz w:val="18"/>
                <w:szCs w:val="18"/>
              </w:rPr>
              <w:t>③项目合同书、验收报告、技术鉴定等资料是否齐全并及时归档；</w:t>
            </w:r>
            <w:r>
              <w:rPr>
                <w:rFonts w:eastAsia="仿宋_GB2312"/>
                <w:color w:val="000000"/>
                <w:kern w:val="0"/>
                <w:sz w:val="18"/>
                <w:szCs w:val="18"/>
              </w:rPr>
              <w:br w:type="textWrapping"/>
            </w:r>
            <w:r>
              <w:rPr>
                <w:rFonts w:eastAsia="仿宋_GB2312"/>
                <w:color w:val="000000"/>
                <w:kern w:val="0"/>
                <w:sz w:val="18"/>
                <w:szCs w:val="18"/>
              </w:rPr>
              <w:t>④项目实施的人员条件、场地设备、信息支撑等是否落实到位。</w:t>
            </w:r>
          </w:p>
        </w:tc>
        <w:tc>
          <w:tcPr>
            <w:tcW w:w="483" w:type="pct"/>
            <w:shd w:val="clear" w:color="000000"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c>
          <w:tcPr>
            <w:tcW w:w="363" w:type="pct"/>
            <w:shd w:val="clear" w:color="000000"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37" w:hRule="atLeast"/>
          <w:jc w:val="center"/>
        </w:trPr>
        <w:tc>
          <w:tcPr>
            <w:tcW w:w="372" w:type="pct"/>
            <w:vMerge w:val="restart"/>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产出</w:t>
            </w:r>
          </w:p>
        </w:tc>
        <w:tc>
          <w:tcPr>
            <w:tcW w:w="370" w:type="pct"/>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产出数量</w:t>
            </w:r>
          </w:p>
        </w:tc>
        <w:tc>
          <w:tcPr>
            <w:tcW w:w="398" w:type="pct"/>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实际完成率</w:t>
            </w:r>
          </w:p>
        </w:tc>
        <w:tc>
          <w:tcPr>
            <w:tcW w:w="1135" w:type="pct"/>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项目实施的实际产出数与计划产出数的比率，用以反映和考核项目产出数量目标的实现程度。</w:t>
            </w:r>
          </w:p>
        </w:tc>
        <w:tc>
          <w:tcPr>
            <w:tcW w:w="1877" w:type="pct"/>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实际完成率=（实际产出数/计划产出数）×100%。</w:t>
            </w:r>
            <w:r>
              <w:rPr>
                <w:rFonts w:eastAsia="仿宋_GB2312"/>
                <w:color w:val="000000"/>
                <w:kern w:val="0"/>
                <w:sz w:val="18"/>
                <w:szCs w:val="18"/>
              </w:rPr>
              <w:br w:type="textWrapping"/>
            </w:r>
            <w:r>
              <w:rPr>
                <w:rFonts w:eastAsia="仿宋_GB2312"/>
                <w:color w:val="000000"/>
                <w:kern w:val="0"/>
                <w:sz w:val="18"/>
                <w:szCs w:val="18"/>
              </w:rPr>
              <w:t>实际产出数：一定时期（本年度或项目期）内项目实际产出的产品或提供的服务数量。</w:t>
            </w:r>
            <w:r>
              <w:rPr>
                <w:rFonts w:eastAsia="仿宋_GB2312"/>
                <w:color w:val="000000"/>
                <w:kern w:val="0"/>
                <w:sz w:val="18"/>
                <w:szCs w:val="18"/>
              </w:rPr>
              <w:br w:type="textWrapping"/>
            </w:r>
            <w:r>
              <w:rPr>
                <w:rFonts w:eastAsia="仿宋_GB2312"/>
                <w:color w:val="000000"/>
                <w:kern w:val="0"/>
                <w:sz w:val="18"/>
                <w:szCs w:val="18"/>
              </w:rPr>
              <w:t>计划产出数：项目绩效目标确定的在一定时期（本年度或项目期）内计划产出的产品或提供的服务数量。</w:t>
            </w:r>
          </w:p>
        </w:tc>
        <w:tc>
          <w:tcPr>
            <w:tcW w:w="483" w:type="pct"/>
            <w:shd w:val="clear" w:color="000000"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10</w:t>
            </w:r>
          </w:p>
        </w:tc>
        <w:tc>
          <w:tcPr>
            <w:tcW w:w="363" w:type="pct"/>
            <w:shd w:val="clear" w:color="000000"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72" w:type="pct"/>
            <w:vMerge w:val="continue"/>
            <w:shd w:val="clear" w:color="auto" w:fill="FFFFFF"/>
            <w:vAlign w:val="center"/>
          </w:tcPr>
          <w:p>
            <w:pPr>
              <w:widowControl/>
              <w:spacing w:line="0" w:lineRule="atLeast"/>
              <w:jc w:val="center"/>
              <w:rPr>
                <w:rFonts w:eastAsia="仿宋_GB2312"/>
                <w:color w:val="000000"/>
                <w:kern w:val="0"/>
                <w:sz w:val="18"/>
                <w:szCs w:val="18"/>
              </w:rPr>
            </w:pPr>
          </w:p>
        </w:tc>
        <w:tc>
          <w:tcPr>
            <w:tcW w:w="370" w:type="pct"/>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产出质量</w:t>
            </w:r>
          </w:p>
        </w:tc>
        <w:tc>
          <w:tcPr>
            <w:tcW w:w="398" w:type="pct"/>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质量达标率</w:t>
            </w:r>
          </w:p>
        </w:tc>
        <w:tc>
          <w:tcPr>
            <w:tcW w:w="1135" w:type="pct"/>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项目完成的质量达标产出数与实际产出数的比率，用以反映和考核项目产出质量目标的实现程度。</w:t>
            </w:r>
          </w:p>
        </w:tc>
        <w:tc>
          <w:tcPr>
            <w:tcW w:w="1877" w:type="pct"/>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质量达标率=（质量达标产出数/实际产出数）×100%。</w:t>
            </w:r>
          </w:p>
          <w:p>
            <w:pPr>
              <w:widowControl/>
              <w:spacing w:line="0" w:lineRule="atLeast"/>
              <w:rPr>
                <w:rFonts w:eastAsia="仿宋_GB2312"/>
                <w:color w:val="000000"/>
                <w:kern w:val="0"/>
                <w:sz w:val="18"/>
                <w:szCs w:val="18"/>
              </w:rPr>
            </w:pPr>
            <w:r>
              <w:rPr>
                <w:rFonts w:eastAsia="仿宋_GB2312"/>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483" w:type="pct"/>
            <w:shd w:val="clear" w:color="000000"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10</w:t>
            </w:r>
          </w:p>
        </w:tc>
        <w:tc>
          <w:tcPr>
            <w:tcW w:w="363" w:type="pct"/>
            <w:shd w:val="clear" w:color="000000"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6" w:hRule="atLeast"/>
          <w:jc w:val="center"/>
        </w:trPr>
        <w:tc>
          <w:tcPr>
            <w:tcW w:w="372" w:type="pct"/>
            <w:vMerge w:val="continue"/>
            <w:shd w:val="clear" w:color="auto" w:fill="FFFFFF"/>
            <w:vAlign w:val="center"/>
          </w:tcPr>
          <w:p>
            <w:pPr>
              <w:spacing w:line="0" w:lineRule="atLeast"/>
              <w:jc w:val="center"/>
              <w:rPr>
                <w:rFonts w:eastAsia="仿宋_GB2312"/>
                <w:color w:val="000000"/>
                <w:kern w:val="0"/>
                <w:sz w:val="18"/>
                <w:szCs w:val="18"/>
              </w:rPr>
            </w:pPr>
          </w:p>
        </w:tc>
        <w:tc>
          <w:tcPr>
            <w:tcW w:w="370" w:type="pct"/>
            <w:shd w:val="clear" w:color="auto" w:fill="FFFFFF"/>
            <w:vAlign w:val="center"/>
          </w:tcPr>
          <w:p>
            <w:pPr>
              <w:spacing w:line="0" w:lineRule="atLeast"/>
              <w:jc w:val="center"/>
              <w:rPr>
                <w:rFonts w:eastAsia="仿宋_GB2312"/>
                <w:color w:val="000000"/>
                <w:kern w:val="0"/>
                <w:sz w:val="18"/>
                <w:szCs w:val="18"/>
              </w:rPr>
            </w:pPr>
            <w:r>
              <w:rPr>
                <w:rFonts w:eastAsia="仿宋_GB2312"/>
                <w:color w:val="000000"/>
                <w:kern w:val="0"/>
                <w:sz w:val="18"/>
                <w:szCs w:val="18"/>
              </w:rPr>
              <w:t>产出时效</w:t>
            </w:r>
          </w:p>
        </w:tc>
        <w:tc>
          <w:tcPr>
            <w:tcW w:w="398" w:type="pct"/>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完成及时性</w:t>
            </w:r>
          </w:p>
        </w:tc>
        <w:tc>
          <w:tcPr>
            <w:tcW w:w="1135" w:type="pct"/>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项目实际完成时间与计划完成时间的比较，用以反映和考核项目产出时效目标的实现程度。</w:t>
            </w:r>
          </w:p>
        </w:tc>
        <w:tc>
          <w:tcPr>
            <w:tcW w:w="1877" w:type="pct"/>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实际完成时间：项目实施单位完成该项目实际所耗用的时间。</w:t>
            </w:r>
            <w:r>
              <w:rPr>
                <w:rFonts w:eastAsia="仿宋_GB2312"/>
                <w:color w:val="000000"/>
                <w:kern w:val="0"/>
                <w:sz w:val="18"/>
                <w:szCs w:val="18"/>
              </w:rPr>
              <w:br w:type="textWrapping"/>
            </w:r>
            <w:r>
              <w:rPr>
                <w:rFonts w:eastAsia="仿宋_GB2312"/>
                <w:color w:val="000000"/>
                <w:kern w:val="0"/>
                <w:sz w:val="18"/>
                <w:szCs w:val="18"/>
              </w:rPr>
              <w:t>计划完成时间：按照项目实施计划或相关规定完成该项目所需的时间。</w:t>
            </w:r>
          </w:p>
        </w:tc>
        <w:tc>
          <w:tcPr>
            <w:tcW w:w="483" w:type="pct"/>
            <w:shd w:val="clear" w:color="000000"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10</w:t>
            </w:r>
          </w:p>
        </w:tc>
        <w:tc>
          <w:tcPr>
            <w:tcW w:w="363" w:type="pct"/>
            <w:shd w:val="clear" w:color="000000"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6" w:hRule="atLeast"/>
          <w:jc w:val="center"/>
        </w:trPr>
        <w:tc>
          <w:tcPr>
            <w:tcW w:w="372" w:type="pct"/>
            <w:vMerge w:val="continue"/>
            <w:shd w:val="clear" w:color="auto" w:fill="FFFFFF"/>
            <w:vAlign w:val="center"/>
          </w:tcPr>
          <w:p>
            <w:pPr>
              <w:widowControl/>
              <w:spacing w:line="0" w:lineRule="atLeast"/>
              <w:jc w:val="center"/>
              <w:rPr>
                <w:rFonts w:eastAsia="仿宋_GB2312"/>
                <w:color w:val="000000"/>
                <w:kern w:val="0"/>
                <w:sz w:val="18"/>
                <w:szCs w:val="18"/>
              </w:rPr>
            </w:pPr>
          </w:p>
        </w:tc>
        <w:tc>
          <w:tcPr>
            <w:tcW w:w="370" w:type="pct"/>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产出成本</w:t>
            </w:r>
          </w:p>
        </w:tc>
        <w:tc>
          <w:tcPr>
            <w:tcW w:w="398" w:type="pct"/>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成本节约率</w:t>
            </w:r>
          </w:p>
        </w:tc>
        <w:tc>
          <w:tcPr>
            <w:tcW w:w="1135" w:type="pct"/>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完成项目计划工作目标的实际节约成本与计划成本的比率，用以反映和考核项目的成本节约程度。</w:t>
            </w:r>
          </w:p>
        </w:tc>
        <w:tc>
          <w:tcPr>
            <w:tcW w:w="1877" w:type="pct"/>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br w:type="textWrapping"/>
            </w:r>
            <w:r>
              <w:rPr>
                <w:rFonts w:eastAsia="仿宋_GB2312"/>
                <w:color w:val="000000"/>
                <w:kern w:val="0"/>
                <w:sz w:val="18"/>
                <w:szCs w:val="18"/>
              </w:rPr>
              <w:t>成本节约率=[（计划成本-实际成本）/计划成本]×100%。</w:t>
            </w:r>
            <w:r>
              <w:rPr>
                <w:rFonts w:eastAsia="仿宋_GB2312"/>
                <w:color w:val="000000"/>
                <w:kern w:val="0"/>
                <w:sz w:val="18"/>
                <w:szCs w:val="18"/>
              </w:rPr>
              <w:br w:type="textWrapping"/>
            </w:r>
            <w:r>
              <w:rPr>
                <w:rFonts w:eastAsia="仿宋_GB2312"/>
                <w:color w:val="000000"/>
                <w:kern w:val="0"/>
                <w:sz w:val="18"/>
                <w:szCs w:val="18"/>
              </w:rPr>
              <w:t>实际成本：项目实施单位如期、保质、保量完成既定工作目标实际所耗费的支出。</w:t>
            </w:r>
            <w:r>
              <w:rPr>
                <w:rFonts w:eastAsia="仿宋_GB2312"/>
                <w:color w:val="000000"/>
                <w:kern w:val="0"/>
                <w:sz w:val="18"/>
                <w:szCs w:val="18"/>
              </w:rPr>
              <w:br w:type="textWrapping"/>
            </w:r>
            <w:r>
              <w:rPr>
                <w:rFonts w:eastAsia="仿宋_GB2312"/>
                <w:color w:val="000000"/>
                <w:kern w:val="0"/>
                <w:sz w:val="18"/>
                <w:szCs w:val="18"/>
              </w:rPr>
              <w:t>计划成本：项目实施单位为完成工作目标计划安排的支出，一般以项目预算为参考。</w:t>
            </w:r>
          </w:p>
        </w:tc>
        <w:tc>
          <w:tcPr>
            <w:tcW w:w="483" w:type="pct"/>
            <w:shd w:val="clear" w:color="000000"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10</w:t>
            </w:r>
          </w:p>
        </w:tc>
        <w:tc>
          <w:tcPr>
            <w:tcW w:w="363" w:type="pct"/>
            <w:shd w:val="clear" w:color="000000"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64" w:hRule="atLeast"/>
          <w:jc w:val="center"/>
        </w:trPr>
        <w:tc>
          <w:tcPr>
            <w:tcW w:w="372" w:type="pct"/>
            <w:vMerge w:val="restart"/>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效益　</w:t>
            </w:r>
          </w:p>
        </w:tc>
        <w:tc>
          <w:tcPr>
            <w:tcW w:w="370" w:type="pct"/>
            <w:vMerge w:val="restart"/>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项目效益　</w:t>
            </w:r>
          </w:p>
        </w:tc>
        <w:tc>
          <w:tcPr>
            <w:tcW w:w="398" w:type="pct"/>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实施效益</w:t>
            </w:r>
          </w:p>
        </w:tc>
        <w:tc>
          <w:tcPr>
            <w:tcW w:w="1135" w:type="pct"/>
            <w:shd w:val="clear" w:color="auto" w:fill="FFFFFF"/>
            <w:vAlign w:val="center"/>
          </w:tcPr>
          <w:p>
            <w:pPr>
              <w:widowControl/>
              <w:spacing w:line="0" w:lineRule="atLeast"/>
              <w:jc w:val="left"/>
              <w:rPr>
                <w:rFonts w:eastAsia="仿宋_GB2312"/>
                <w:color w:val="000000"/>
                <w:kern w:val="0"/>
                <w:sz w:val="18"/>
                <w:szCs w:val="18"/>
              </w:rPr>
            </w:pPr>
            <w:r>
              <w:rPr>
                <w:rFonts w:eastAsia="仿宋_GB2312"/>
                <w:color w:val="000000"/>
                <w:kern w:val="0"/>
                <w:sz w:val="18"/>
                <w:szCs w:val="18"/>
              </w:rPr>
              <w:t>项目实施所产生的效益。</w:t>
            </w:r>
          </w:p>
        </w:tc>
        <w:tc>
          <w:tcPr>
            <w:tcW w:w="1877" w:type="pct"/>
            <w:shd w:val="clear" w:color="auto"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项目实施所产生的社会效益、经济效益、生态效益、可持续影响等。可根据项目实际情况有选择地设置和细化。</w:t>
            </w:r>
          </w:p>
        </w:tc>
        <w:tc>
          <w:tcPr>
            <w:tcW w:w="483" w:type="pct"/>
            <w:shd w:val="clear" w:color="auto"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10</w:t>
            </w:r>
          </w:p>
        </w:tc>
        <w:tc>
          <w:tcPr>
            <w:tcW w:w="363" w:type="pct"/>
            <w:shd w:val="clear" w:color="auto"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7" w:hRule="atLeast"/>
          <w:jc w:val="center"/>
        </w:trPr>
        <w:tc>
          <w:tcPr>
            <w:tcW w:w="372" w:type="pct"/>
            <w:vMerge w:val="continue"/>
            <w:shd w:val="clear" w:color="auto" w:fill="FFFFFF"/>
            <w:vAlign w:val="center"/>
          </w:tcPr>
          <w:p>
            <w:pPr>
              <w:widowControl/>
              <w:spacing w:line="0" w:lineRule="atLeast"/>
              <w:jc w:val="center"/>
              <w:rPr>
                <w:rFonts w:eastAsia="仿宋_GB2312"/>
                <w:color w:val="000000"/>
                <w:kern w:val="0"/>
                <w:sz w:val="18"/>
                <w:szCs w:val="18"/>
              </w:rPr>
            </w:pPr>
          </w:p>
        </w:tc>
        <w:tc>
          <w:tcPr>
            <w:tcW w:w="370" w:type="pct"/>
            <w:vMerge w:val="continue"/>
            <w:shd w:val="clear" w:color="auto" w:fill="FFFFFF"/>
            <w:vAlign w:val="center"/>
          </w:tcPr>
          <w:p>
            <w:pPr>
              <w:widowControl/>
              <w:spacing w:line="0" w:lineRule="atLeast"/>
              <w:jc w:val="center"/>
              <w:rPr>
                <w:rFonts w:eastAsia="仿宋_GB2312"/>
                <w:color w:val="000000"/>
                <w:kern w:val="0"/>
                <w:sz w:val="18"/>
                <w:szCs w:val="18"/>
              </w:rPr>
            </w:pPr>
          </w:p>
        </w:tc>
        <w:tc>
          <w:tcPr>
            <w:tcW w:w="398" w:type="pct"/>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满意度</w:t>
            </w:r>
          </w:p>
        </w:tc>
        <w:tc>
          <w:tcPr>
            <w:tcW w:w="1135" w:type="pct"/>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社会公众或服务对象对项目实施效果的满意程度。</w:t>
            </w:r>
          </w:p>
        </w:tc>
        <w:tc>
          <w:tcPr>
            <w:tcW w:w="1877" w:type="pct"/>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社会公众或服务对象是指因该项目实施而受到影响的部门（单位）、群体或个人。一般采取社会调查的方式。</w:t>
            </w:r>
          </w:p>
        </w:tc>
        <w:tc>
          <w:tcPr>
            <w:tcW w:w="483" w:type="pct"/>
            <w:shd w:val="clear" w:color="000000"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10</w:t>
            </w:r>
          </w:p>
        </w:tc>
        <w:tc>
          <w:tcPr>
            <w:tcW w:w="363" w:type="pct"/>
            <w:shd w:val="clear" w:color="000000"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10</w:t>
            </w:r>
          </w:p>
        </w:tc>
      </w:tr>
    </w:tbl>
    <w:p>
      <w:pPr>
        <w:sectPr>
          <w:pgSz w:w="16838" w:h="11906" w:orient="landscape"/>
          <w:pgMar w:top="1180" w:right="1440" w:bottom="846" w:left="1440" w:header="851" w:footer="992" w:gutter="0"/>
          <w:cols w:space="425" w:num="1"/>
          <w:docGrid w:type="lines" w:linePitch="312" w:charSpace="0"/>
        </w:sectPr>
      </w:pPr>
    </w:p>
    <w:p>
      <w:pPr>
        <w:spacing w:line="600" w:lineRule="exact"/>
        <w:rPr>
          <w:rFonts w:eastAsia="黑体"/>
          <w:sz w:val="32"/>
          <w:szCs w:val="32"/>
        </w:rPr>
      </w:pPr>
      <w:r>
        <w:rPr>
          <w:rFonts w:hint="eastAsia" w:eastAsia="黑体"/>
          <w:sz w:val="32"/>
          <w:szCs w:val="32"/>
        </w:rPr>
        <w:t>附件1</w:t>
      </w:r>
    </w:p>
    <w:p>
      <w:pPr>
        <w:spacing w:line="240" w:lineRule="atLeast"/>
        <w:jc w:val="center"/>
        <w:rPr>
          <w:rFonts w:ascii="仿宋_GB2312" w:hAnsi="仿宋_GB2312" w:eastAsia="仿宋_GB2312" w:cs="仿宋_GB2312"/>
          <w:b/>
          <w:bCs/>
          <w:color w:val="000000"/>
          <w:kern w:val="0"/>
          <w:sz w:val="28"/>
          <w:szCs w:val="28"/>
          <w:lang w:bidi="ar"/>
        </w:rPr>
      </w:pPr>
      <w:r>
        <w:rPr>
          <w:rFonts w:hint="eastAsia" w:ascii="仿宋_GB2312" w:hAnsi="仿宋_GB2312" w:eastAsia="仿宋_GB2312" w:cs="仿宋_GB2312"/>
          <w:b/>
          <w:bCs/>
          <w:color w:val="000000"/>
          <w:kern w:val="0"/>
          <w:sz w:val="28"/>
          <w:szCs w:val="28"/>
          <w:lang w:bidi="ar"/>
        </w:rPr>
        <w:t>项目支出绩效自评表</w:t>
      </w:r>
    </w:p>
    <w:p>
      <w:pPr>
        <w:spacing w:line="240" w:lineRule="atLeast"/>
        <w:jc w:val="center"/>
        <w:rPr>
          <w:rFonts w:eastAsia="仿宋_GB2312"/>
          <w:b/>
          <w:bCs/>
          <w:color w:val="000000"/>
          <w:kern w:val="0"/>
          <w:sz w:val="22"/>
          <w:szCs w:val="22"/>
          <w:lang w:bidi="ar"/>
        </w:rPr>
      </w:pPr>
      <w:r>
        <w:rPr>
          <w:rFonts w:eastAsia="仿宋_GB2312"/>
          <w:b/>
          <w:bCs/>
          <w:color w:val="000000"/>
          <w:kern w:val="0"/>
          <w:sz w:val="22"/>
          <w:szCs w:val="22"/>
          <w:lang w:bidi="ar"/>
        </w:rPr>
        <w:t>（ 2024年度）</w:t>
      </w:r>
    </w:p>
    <w:tbl>
      <w:tblPr>
        <w:tblStyle w:val="14"/>
        <w:tblW w:w="5104" w:type="pct"/>
        <w:tblInd w:w="0" w:type="dxa"/>
        <w:tblLayout w:type="fixed"/>
        <w:tblCellMar>
          <w:top w:w="0" w:type="dxa"/>
          <w:left w:w="108" w:type="dxa"/>
          <w:bottom w:w="0" w:type="dxa"/>
          <w:right w:w="108" w:type="dxa"/>
        </w:tblCellMar>
      </w:tblPr>
      <w:tblGrid>
        <w:gridCol w:w="955"/>
        <w:gridCol w:w="1022"/>
        <w:gridCol w:w="1095"/>
        <w:gridCol w:w="1260"/>
        <w:gridCol w:w="1005"/>
        <w:gridCol w:w="1065"/>
        <w:gridCol w:w="900"/>
        <w:gridCol w:w="855"/>
        <w:gridCol w:w="240"/>
        <w:gridCol w:w="885"/>
        <w:gridCol w:w="690"/>
        <w:gridCol w:w="930"/>
        <w:gridCol w:w="780"/>
        <w:gridCol w:w="795"/>
        <w:gridCol w:w="2625"/>
      </w:tblGrid>
      <w:tr>
        <w:tblPrEx>
          <w:tblCellMar>
            <w:top w:w="0" w:type="dxa"/>
            <w:left w:w="108" w:type="dxa"/>
            <w:bottom w:w="0" w:type="dxa"/>
            <w:right w:w="108" w:type="dxa"/>
          </w:tblCellMar>
        </w:tblPrEx>
        <w:trPr>
          <w:trHeight w:val="288" w:hRule="atLeast"/>
        </w:trPr>
        <w:tc>
          <w:tcPr>
            <w:tcW w:w="65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lang w:bidi="ar"/>
              </w:rPr>
              <w:t>项目名称</w:t>
            </w:r>
          </w:p>
        </w:tc>
        <w:tc>
          <w:tcPr>
            <w:tcW w:w="4345" w:type="pct"/>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sz w:val="18"/>
                <w:szCs w:val="18"/>
              </w:rPr>
              <w:t>免费开放运行保障经费</w:t>
            </w:r>
          </w:p>
        </w:tc>
      </w:tr>
      <w:tr>
        <w:tblPrEx>
          <w:tblCellMar>
            <w:top w:w="0" w:type="dxa"/>
            <w:left w:w="108" w:type="dxa"/>
            <w:bottom w:w="0" w:type="dxa"/>
            <w:right w:w="108" w:type="dxa"/>
          </w:tblCellMar>
        </w:tblPrEx>
        <w:trPr>
          <w:trHeight w:val="288" w:hRule="atLeast"/>
        </w:trPr>
        <w:tc>
          <w:tcPr>
            <w:tcW w:w="65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lang w:bidi="ar"/>
              </w:rPr>
              <w:t>主管部门</w:t>
            </w:r>
          </w:p>
        </w:tc>
        <w:tc>
          <w:tcPr>
            <w:tcW w:w="1763"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ascii="仿宋_GB2312" w:hAnsi="仿宋_GB2312" w:eastAsia="仿宋_GB2312" w:cs="仿宋_GB2312"/>
                <w:color w:val="000000"/>
                <w:sz w:val="18"/>
                <w:szCs w:val="18"/>
              </w:rPr>
              <w:t>自治区文化和旅游厅</w:t>
            </w:r>
          </w:p>
        </w:tc>
        <w:tc>
          <w:tcPr>
            <w:tcW w:w="65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lang w:bidi="ar"/>
              </w:rPr>
              <w:t>实施单位</w:t>
            </w:r>
          </w:p>
        </w:tc>
        <w:tc>
          <w:tcPr>
            <w:tcW w:w="1926"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ascii="仿宋_GB2312" w:hAnsi="仿宋_GB2312" w:eastAsia="仿宋_GB2312" w:cs="仿宋_GB2312"/>
                <w:color w:val="000000"/>
                <w:sz w:val="18"/>
                <w:szCs w:val="18"/>
              </w:rPr>
              <w:t>新疆维吾尔自治区图书馆</w:t>
            </w:r>
          </w:p>
        </w:tc>
      </w:tr>
      <w:tr>
        <w:tblPrEx>
          <w:tblCellMar>
            <w:top w:w="0" w:type="dxa"/>
            <w:left w:w="108" w:type="dxa"/>
            <w:bottom w:w="0" w:type="dxa"/>
            <w:right w:w="108" w:type="dxa"/>
          </w:tblCellMar>
        </w:tblPrEx>
        <w:trPr>
          <w:trHeight w:val="288" w:hRule="atLeast"/>
        </w:trPr>
        <w:tc>
          <w:tcPr>
            <w:tcW w:w="654"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lang w:bidi="ar"/>
              </w:rPr>
              <w:t>项目资金</w:t>
            </w:r>
            <w:r>
              <w:rPr>
                <w:rFonts w:hint="eastAsia" w:ascii="仿宋_GB2312" w:hAnsi="仿宋_GB2312" w:eastAsia="仿宋_GB2312" w:cs="仿宋_GB2312"/>
                <w:color w:val="000000"/>
                <w:kern w:val="0"/>
                <w:sz w:val="18"/>
                <w:szCs w:val="18"/>
                <w:lang w:bidi="ar"/>
              </w:rPr>
              <w:br w:type="textWrapping"/>
            </w:r>
            <w:r>
              <w:rPr>
                <w:rFonts w:hint="eastAsia" w:ascii="仿宋_GB2312" w:hAnsi="仿宋_GB2312" w:eastAsia="仿宋_GB2312" w:cs="仿宋_GB2312"/>
                <w:color w:val="000000"/>
                <w:kern w:val="0"/>
                <w:sz w:val="18"/>
                <w:szCs w:val="18"/>
                <w:lang w:bidi="ar"/>
              </w:rPr>
              <w:t>（万元）</w:t>
            </w:r>
          </w:p>
        </w:tc>
        <w:tc>
          <w:tcPr>
            <w:tcW w:w="7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lang w:bidi="ar"/>
              </w:rPr>
              <w:t>资金来源</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lang w:bidi="ar"/>
              </w:rPr>
              <w:t>年初预算数</w:t>
            </w:r>
          </w:p>
        </w:tc>
        <w:tc>
          <w:tcPr>
            <w:tcW w:w="6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lang w:bidi="ar"/>
              </w:rPr>
              <w:t>全年预算数</w:t>
            </w:r>
          </w:p>
        </w:tc>
        <w:tc>
          <w:tcPr>
            <w:tcW w:w="65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lang w:bidi="ar"/>
              </w:rPr>
              <w:t>全年执行数</w:t>
            </w:r>
          </w:p>
        </w:tc>
        <w:tc>
          <w:tcPr>
            <w:tcW w:w="5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lang w:bidi="ar"/>
              </w:rPr>
              <w:t>分值权重</w:t>
            </w:r>
          </w:p>
        </w:tc>
        <w:tc>
          <w:tcPr>
            <w:tcW w:w="52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lang w:bidi="ar"/>
              </w:rPr>
              <w:t>执行率</w:t>
            </w:r>
          </w:p>
        </w:tc>
        <w:tc>
          <w:tcPr>
            <w:tcW w:w="86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lang w:bidi="ar"/>
              </w:rPr>
              <w:t>得分</w:t>
            </w:r>
          </w:p>
        </w:tc>
      </w:tr>
      <w:tr>
        <w:tblPrEx>
          <w:tblCellMar>
            <w:top w:w="0" w:type="dxa"/>
            <w:left w:w="108" w:type="dxa"/>
            <w:bottom w:w="0" w:type="dxa"/>
            <w:right w:w="108" w:type="dxa"/>
          </w:tblCellMar>
        </w:tblPrEx>
        <w:trPr>
          <w:trHeight w:val="288" w:hRule="atLeast"/>
        </w:trPr>
        <w:tc>
          <w:tcPr>
            <w:tcW w:w="65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7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lang w:bidi="ar"/>
              </w:rPr>
              <w:t>年度资金总额</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6</w:t>
            </w:r>
            <w:r>
              <w:rPr>
                <w:rFonts w:ascii="仿宋_GB2312" w:hAnsi="仿宋_GB2312" w:eastAsia="仿宋_GB2312" w:cs="仿宋_GB2312"/>
                <w:color w:val="000000"/>
                <w:sz w:val="18"/>
                <w:szCs w:val="18"/>
              </w:rPr>
              <w:t>20</w:t>
            </w:r>
          </w:p>
        </w:tc>
        <w:tc>
          <w:tcPr>
            <w:tcW w:w="6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6</w:t>
            </w:r>
            <w:r>
              <w:rPr>
                <w:rFonts w:ascii="仿宋_GB2312" w:hAnsi="仿宋_GB2312" w:eastAsia="仿宋_GB2312" w:cs="仿宋_GB2312"/>
                <w:color w:val="000000"/>
                <w:sz w:val="18"/>
                <w:szCs w:val="18"/>
              </w:rPr>
              <w:t>20</w:t>
            </w:r>
          </w:p>
        </w:tc>
        <w:tc>
          <w:tcPr>
            <w:tcW w:w="65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6</w:t>
            </w:r>
            <w:r>
              <w:rPr>
                <w:rFonts w:ascii="仿宋_GB2312" w:hAnsi="仿宋_GB2312" w:eastAsia="仿宋_GB2312" w:cs="仿宋_GB2312"/>
                <w:color w:val="000000"/>
                <w:sz w:val="18"/>
                <w:szCs w:val="18"/>
              </w:rPr>
              <w:t>20</w:t>
            </w:r>
          </w:p>
        </w:tc>
        <w:tc>
          <w:tcPr>
            <w:tcW w:w="5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w:t>
            </w:r>
            <w:r>
              <w:rPr>
                <w:rFonts w:ascii="仿宋_GB2312" w:hAnsi="仿宋_GB2312" w:eastAsia="仿宋_GB2312" w:cs="仿宋_GB2312"/>
                <w:color w:val="000000"/>
                <w:sz w:val="18"/>
                <w:szCs w:val="18"/>
              </w:rPr>
              <w:t>0</w:t>
            </w:r>
          </w:p>
        </w:tc>
        <w:tc>
          <w:tcPr>
            <w:tcW w:w="52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w:t>
            </w:r>
            <w:r>
              <w:rPr>
                <w:rFonts w:ascii="仿宋_GB2312" w:hAnsi="仿宋_GB2312" w:eastAsia="仿宋_GB2312" w:cs="仿宋_GB2312"/>
                <w:color w:val="000000"/>
                <w:sz w:val="18"/>
                <w:szCs w:val="18"/>
              </w:rPr>
              <w:t>00</w:t>
            </w:r>
            <w:r>
              <w:rPr>
                <w:rFonts w:hint="eastAsia" w:ascii="仿宋_GB2312" w:hAnsi="仿宋_GB2312" w:eastAsia="仿宋_GB2312" w:cs="仿宋_GB2312"/>
                <w:color w:val="000000"/>
                <w:sz w:val="18"/>
                <w:szCs w:val="18"/>
              </w:rPr>
              <w:t>%</w:t>
            </w:r>
          </w:p>
        </w:tc>
        <w:tc>
          <w:tcPr>
            <w:tcW w:w="86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w:t>
            </w:r>
            <w:r>
              <w:rPr>
                <w:rFonts w:ascii="仿宋_GB2312" w:hAnsi="仿宋_GB2312" w:eastAsia="仿宋_GB2312" w:cs="仿宋_GB2312"/>
                <w:color w:val="000000"/>
                <w:sz w:val="18"/>
                <w:szCs w:val="18"/>
              </w:rPr>
              <w:t>0</w:t>
            </w:r>
          </w:p>
        </w:tc>
      </w:tr>
      <w:tr>
        <w:tblPrEx>
          <w:tblCellMar>
            <w:top w:w="0" w:type="dxa"/>
            <w:left w:w="108" w:type="dxa"/>
            <w:bottom w:w="0" w:type="dxa"/>
            <w:right w:w="108" w:type="dxa"/>
          </w:tblCellMar>
        </w:tblPrEx>
        <w:trPr>
          <w:trHeight w:val="288" w:hRule="atLeast"/>
        </w:trPr>
        <w:tc>
          <w:tcPr>
            <w:tcW w:w="65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7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lang w:bidi="ar"/>
              </w:rPr>
              <w:t>其中：当年财政拨款</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6</w:t>
            </w:r>
            <w:r>
              <w:rPr>
                <w:rFonts w:ascii="仿宋_GB2312" w:hAnsi="仿宋_GB2312" w:eastAsia="仿宋_GB2312" w:cs="仿宋_GB2312"/>
                <w:color w:val="000000"/>
                <w:sz w:val="18"/>
                <w:szCs w:val="18"/>
              </w:rPr>
              <w:t>20</w:t>
            </w:r>
          </w:p>
        </w:tc>
        <w:tc>
          <w:tcPr>
            <w:tcW w:w="65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6</w:t>
            </w:r>
            <w:r>
              <w:rPr>
                <w:rFonts w:ascii="仿宋_GB2312" w:hAnsi="仿宋_GB2312" w:eastAsia="仿宋_GB2312" w:cs="仿宋_GB2312"/>
                <w:color w:val="000000"/>
                <w:sz w:val="18"/>
                <w:szCs w:val="18"/>
              </w:rPr>
              <w:t>20</w:t>
            </w:r>
          </w:p>
        </w:tc>
        <w:tc>
          <w:tcPr>
            <w:tcW w:w="65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6</w:t>
            </w:r>
            <w:r>
              <w:rPr>
                <w:rFonts w:ascii="仿宋_GB2312" w:hAnsi="仿宋_GB2312" w:eastAsia="仿宋_GB2312" w:cs="仿宋_GB2312"/>
                <w:color w:val="000000"/>
                <w:sz w:val="18"/>
                <w:szCs w:val="18"/>
              </w:rPr>
              <w:t xml:space="preserve">20 </w:t>
            </w:r>
          </w:p>
        </w:tc>
        <w:tc>
          <w:tcPr>
            <w:tcW w:w="5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52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w:t>
            </w:r>
            <w:r>
              <w:rPr>
                <w:rFonts w:ascii="仿宋_GB2312" w:hAnsi="仿宋_GB2312" w:eastAsia="仿宋_GB2312" w:cs="仿宋_GB2312"/>
                <w:color w:val="000000"/>
                <w:sz w:val="18"/>
                <w:szCs w:val="18"/>
              </w:rPr>
              <w:t>00</w:t>
            </w:r>
            <w:r>
              <w:rPr>
                <w:rFonts w:hint="eastAsia" w:ascii="仿宋_GB2312" w:hAnsi="仿宋_GB2312" w:eastAsia="仿宋_GB2312" w:cs="仿宋_GB2312"/>
                <w:color w:val="000000"/>
                <w:sz w:val="18"/>
                <w:szCs w:val="18"/>
              </w:rPr>
              <w:t>%</w:t>
            </w:r>
          </w:p>
        </w:tc>
        <w:tc>
          <w:tcPr>
            <w:tcW w:w="86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r>
      <w:tr>
        <w:tblPrEx>
          <w:tblCellMar>
            <w:top w:w="0" w:type="dxa"/>
            <w:left w:w="108" w:type="dxa"/>
            <w:bottom w:w="0" w:type="dxa"/>
            <w:right w:w="108" w:type="dxa"/>
          </w:tblCellMar>
        </w:tblPrEx>
        <w:trPr>
          <w:trHeight w:val="288" w:hRule="atLeast"/>
        </w:trPr>
        <w:tc>
          <w:tcPr>
            <w:tcW w:w="65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779" w:type="pct"/>
            <w:gridSpan w:val="2"/>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lang w:bidi="ar"/>
              </w:rPr>
              <w:t>其他资金</w:t>
            </w:r>
          </w:p>
        </w:tc>
        <w:tc>
          <w:tcPr>
            <w:tcW w:w="332" w:type="pct"/>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650" w:type="pct"/>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655" w:type="pct"/>
            <w:gridSpan w:val="3"/>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5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52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86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r>
      <w:tr>
        <w:tblPrEx>
          <w:tblCellMar>
            <w:top w:w="0" w:type="dxa"/>
            <w:left w:w="108" w:type="dxa"/>
            <w:bottom w:w="0" w:type="dxa"/>
            <w:right w:w="108" w:type="dxa"/>
          </w:tblCellMar>
        </w:tblPrEx>
        <w:trPr>
          <w:trHeight w:val="288" w:hRule="atLeast"/>
        </w:trPr>
        <w:tc>
          <w:tcPr>
            <w:tcW w:w="31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lang w:bidi="ar"/>
              </w:rPr>
              <w:t>年度总体目标</w:t>
            </w:r>
          </w:p>
        </w:tc>
        <w:tc>
          <w:tcPr>
            <w:tcW w:w="2756" w:type="pct"/>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lang w:bidi="ar"/>
              </w:rPr>
              <w:t>总体目标</w:t>
            </w:r>
          </w:p>
        </w:tc>
        <w:tc>
          <w:tcPr>
            <w:tcW w:w="1926"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lang w:bidi="ar"/>
              </w:rPr>
              <w:t>总体目标完成情况</w:t>
            </w:r>
          </w:p>
        </w:tc>
      </w:tr>
      <w:tr>
        <w:tblPrEx>
          <w:tblCellMar>
            <w:top w:w="0" w:type="dxa"/>
            <w:left w:w="108" w:type="dxa"/>
            <w:bottom w:w="0" w:type="dxa"/>
            <w:right w:w="108" w:type="dxa"/>
          </w:tblCellMar>
        </w:tblPrEx>
        <w:trPr>
          <w:trHeight w:val="590" w:hRule="atLeast"/>
        </w:trPr>
        <w:tc>
          <w:tcPr>
            <w:tcW w:w="3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2463" w:type="pct"/>
            <w:gridSpan w:val="8"/>
            <w:tcBorders>
              <w:top w:val="single" w:color="000000" w:sz="4" w:space="0"/>
              <w:left w:val="single" w:color="000000" w:sz="4" w:space="0"/>
              <w:bottom w:val="single" w:color="000000" w:sz="4" w:space="0"/>
              <w:right w:val="single" w:color="000000" w:sz="4" w:space="0"/>
            </w:tcBorders>
            <w:shd w:val="clear" w:color="auto" w:fill="auto"/>
          </w:tcPr>
          <w:p>
            <w:pPr>
              <w:ind w:firstLine="360" w:firstLineChars="200"/>
              <w:jc w:val="lef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根据文化和旅游部《“十四五”文化和旅游发展规划》</w:t>
            </w:r>
            <w:bookmarkStart w:id="3" w:name="_GoBack"/>
            <w:bookmarkEnd w:id="3"/>
            <w:r>
              <w:rPr>
                <w:rFonts w:hint="eastAsia" w:ascii="仿宋_GB2312" w:hAnsi="仿宋_GB2312" w:eastAsia="仿宋_GB2312" w:cs="仿宋_GB2312"/>
                <w:color w:val="000000"/>
                <w:sz w:val="18"/>
                <w:szCs w:val="18"/>
              </w:rPr>
              <w:t xml:space="preserve">《“十四五” 公共文化服务体系建设规划》《新疆维吾尔自治区国民经济和社会发展第十四个五年规划和2035年远景目标纲要》及《自治区文化和旅游发展第十四个五年规划》等对“十四五”期间公共图书馆建设发展要求，本项目总体目标是：适应高质量发展要求，推动新疆图书馆向“以人为中心”转型，建设开放、智慧、包容、共享的现代图书馆，建设成为自治区滋养民族心灵、培育文化自信的重要场所。                                              </w:t>
            </w:r>
            <w:r>
              <w:rPr>
                <w:rFonts w:ascii="仿宋_GB2312" w:hAnsi="仿宋_GB2312" w:eastAsia="仿宋_GB2312" w:cs="仿宋_GB2312"/>
                <w:color w:val="000000"/>
                <w:sz w:val="18"/>
                <w:szCs w:val="18"/>
              </w:rPr>
              <w:t xml:space="preserve">                                                                </w:t>
            </w:r>
          </w:p>
          <w:p>
            <w:pPr>
              <w:ind w:firstLine="360" w:firstLineChars="200"/>
              <w:jc w:val="lef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 xml:space="preserve">目标1：免费向社会公众开放，提供图书借阅及查询等服务，保障5.6万平方米场馆日常运转运行，全年图书馆流通人次达到50万人次，保障公众知识获取与使用公共空间的权利。                                                                                             </w:t>
            </w:r>
          </w:p>
          <w:p>
            <w:pPr>
              <w:ind w:firstLine="360" w:firstLineChars="200"/>
              <w:jc w:val="lef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 xml:space="preserve">目标2：开展讲座、展览、培训、全民阅读活动等社会教育活动，深入推进全民阅读，传承中华优秀传统文化，全民阅读推广系列活动达到15场。                                                                                             </w:t>
            </w:r>
          </w:p>
          <w:p>
            <w:pPr>
              <w:ind w:firstLine="360" w:firstLineChars="200"/>
              <w:jc w:val="lef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目标3：建设图书信息资源馆藏体系，不断丰富馆藏文献信息资源，做好馆藏信息文献的收集、整理和保存工作，保存传承地方历史文化和民族文化，图书文献采购数量达到12000册，图书验收合格率100%，图书采购及时率100%。</w:t>
            </w:r>
          </w:p>
        </w:tc>
        <w:tc>
          <w:tcPr>
            <w:tcW w:w="2219"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360" w:firstLineChars="200"/>
              <w:jc w:val="lef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2024年，新疆图书馆全年对公众免费开放，确保场馆良好运行，开展读者服务、读者活动、展览讲座、业务培训、基层辅导、数字阅读、文献购置等项目，惠及到馆读者及线上读者，丰富了群众的精神文化生活，保障了公众知识获取与使用公共空间的权利。扩大场馆延时开放区域，延长开放时间，每天延长服务读者时间4小时。接待进馆读者131.2万人次，新增持证人数21399人。完成报纸、期刊续订，新增图书文献14338册。以重要时间节点和节气节日文化为主题，以线上线下联动的方式，策划举办“春到万家——图书馆里过大年”系列活动、“书香致远润天山·书韵迎春享悦读”——2024年年庆系列阅读推广活动、“再发现图书馆 共读现代文明”系列阅读推广活动、“四季童读”青少年阅读推广活动、“阅绘999”绘本故事系列活动、“阅·见新疆”第一季——“诗歌里的家乡”主题活动、“昆仑尼山书院”中华优秀传统文化共建共享项目、“字典里的中国”——李新晨全谱系新华字典特藏版本文献展等系列活动15场，吸引近159.7万人次参与，在弘扬中华优秀传统文化、推进文化润疆方面发挥了积极作用。</w:t>
            </w:r>
          </w:p>
        </w:tc>
      </w:tr>
      <w:tr>
        <w:tblPrEx>
          <w:tblCellMar>
            <w:top w:w="0" w:type="dxa"/>
            <w:left w:w="108" w:type="dxa"/>
            <w:bottom w:w="0" w:type="dxa"/>
            <w:right w:w="108" w:type="dxa"/>
          </w:tblCellMar>
        </w:tblPrEx>
        <w:trPr>
          <w:trHeight w:val="600" w:hRule="atLeast"/>
        </w:trPr>
        <w:tc>
          <w:tcPr>
            <w:tcW w:w="31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绩效指标</w:t>
            </w: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lang w:bidi="ar"/>
              </w:rPr>
              <w:t>一级指标</w:t>
            </w:r>
          </w:p>
        </w:tc>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lang w:bidi="ar"/>
              </w:rPr>
              <w:t>二级指标</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lang w:bidi="ar"/>
              </w:rPr>
              <w:t>三级指标</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lang w:bidi="ar"/>
              </w:rPr>
              <w:t>指标值</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lang w:bidi="ar"/>
              </w:rPr>
              <w:t>指标值设置依据</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lang w:bidi="ar"/>
              </w:rPr>
              <w:t>上年完成值</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lang w:bidi="ar"/>
              </w:rPr>
              <w:t>指标分值权重</w:t>
            </w:r>
          </w:p>
        </w:tc>
        <w:tc>
          <w:tcPr>
            <w:tcW w:w="37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lang w:bidi="ar"/>
              </w:rPr>
              <w:t>指标赋分规则</w:t>
            </w: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lang w:bidi="ar"/>
              </w:rPr>
              <w:t>佐证资料</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lang w:bidi="ar"/>
              </w:rPr>
              <w:t>指标实际完成值</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lang w:bidi="ar"/>
              </w:rPr>
              <w:t>完成率</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lang w:bidi="ar"/>
              </w:rPr>
              <w:t>指标得分</w:t>
            </w:r>
          </w:p>
        </w:tc>
        <w:tc>
          <w:tcPr>
            <w:tcW w:w="86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lang w:bidi="ar"/>
              </w:rPr>
              <w:t>偏差原因分析及改进措施</w:t>
            </w:r>
          </w:p>
        </w:tc>
      </w:tr>
      <w:tr>
        <w:tblPrEx>
          <w:tblCellMar>
            <w:top w:w="0" w:type="dxa"/>
            <w:left w:w="108" w:type="dxa"/>
            <w:bottom w:w="0" w:type="dxa"/>
            <w:right w:w="108" w:type="dxa"/>
          </w:tblCellMar>
        </w:tblPrEx>
        <w:trPr>
          <w:trHeight w:val="288" w:hRule="atLeast"/>
        </w:trPr>
        <w:tc>
          <w:tcPr>
            <w:tcW w:w="3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3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color w:val="000000"/>
                <w:kern w:val="0"/>
                <w:sz w:val="18"/>
                <w:szCs w:val="18"/>
                <w:lang w:bidi="ar"/>
              </w:rPr>
              <w:t>产出指标</w:t>
            </w:r>
          </w:p>
        </w:tc>
        <w:tc>
          <w:tcPr>
            <w:tcW w:w="362" w:type="pct"/>
            <w:vMerge w:val="restart"/>
            <w:tcBorders>
              <w:top w:val="single" w:color="000000" w:sz="4" w:space="0"/>
              <w:left w:val="single" w:color="000000" w:sz="4" w:space="0"/>
              <w:right w:val="single" w:color="000000" w:sz="4" w:space="0"/>
            </w:tcBorders>
            <w:shd w:val="clear" w:color="auto" w:fill="auto"/>
            <w:noWrap/>
            <w:vAlign w:val="center"/>
          </w:tcPr>
          <w:p>
            <w:pPr>
              <w:widowControl/>
              <w:jc w:val="center"/>
              <w:textAlignment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color w:val="000000"/>
                <w:kern w:val="0"/>
                <w:sz w:val="18"/>
                <w:szCs w:val="18"/>
                <w:lang w:bidi="ar"/>
              </w:rPr>
              <w:t>数量指标</w:t>
            </w:r>
          </w:p>
        </w:tc>
        <w:tc>
          <w:tcPr>
            <w:tcW w:w="417" w:type="pct"/>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场馆运行面积</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=56000平方米</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计划标准</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56000平方米</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5</w:t>
            </w:r>
          </w:p>
        </w:tc>
        <w:tc>
          <w:tcPr>
            <w:tcW w:w="37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直接赋分</w:t>
            </w: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工作资料</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56000平方米</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color w:val="000000"/>
                <w:sz w:val="18"/>
                <w:szCs w:val="18"/>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color w:val="000000"/>
                <w:sz w:val="18"/>
                <w:szCs w:val="18"/>
              </w:rPr>
              <w:t>5</w:t>
            </w:r>
          </w:p>
        </w:tc>
        <w:tc>
          <w:tcPr>
            <w:tcW w:w="86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color w:val="000000"/>
                <w:sz w:val="18"/>
                <w:szCs w:val="18"/>
              </w:rPr>
              <w:t>　</w:t>
            </w:r>
          </w:p>
        </w:tc>
      </w:tr>
      <w:tr>
        <w:tblPrEx>
          <w:tblCellMar>
            <w:top w:w="0" w:type="dxa"/>
            <w:left w:w="108" w:type="dxa"/>
            <w:bottom w:w="0" w:type="dxa"/>
            <w:right w:w="108" w:type="dxa"/>
          </w:tblCellMar>
        </w:tblPrEx>
        <w:trPr>
          <w:trHeight w:val="288" w:hRule="atLeast"/>
        </w:trPr>
        <w:tc>
          <w:tcPr>
            <w:tcW w:w="3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方正仿宋_GBK" w:hAnsi="方正仿宋_GBK" w:eastAsia="方正仿宋_GBK" w:cs="方正仿宋_GBK"/>
                <w:color w:val="000000"/>
                <w:kern w:val="0"/>
                <w:sz w:val="18"/>
                <w:szCs w:val="18"/>
                <w:lang w:bidi="ar"/>
              </w:rPr>
            </w:pPr>
          </w:p>
        </w:tc>
        <w:tc>
          <w:tcPr>
            <w:tcW w:w="362" w:type="pct"/>
            <w:vMerge w:val="continue"/>
            <w:tcBorders>
              <w:left w:val="single" w:color="000000" w:sz="4" w:space="0"/>
              <w:right w:val="single" w:color="000000" w:sz="4" w:space="0"/>
            </w:tcBorders>
            <w:shd w:val="clear" w:color="auto" w:fill="auto"/>
            <w:noWrap/>
            <w:vAlign w:val="center"/>
          </w:tcPr>
          <w:p>
            <w:pPr>
              <w:widowControl/>
              <w:jc w:val="center"/>
              <w:textAlignment w:val="center"/>
              <w:rPr>
                <w:rFonts w:hint="eastAsia" w:ascii="方正仿宋_GBK" w:hAnsi="方正仿宋_GBK" w:eastAsia="方正仿宋_GBK" w:cs="方正仿宋_GBK"/>
                <w:color w:val="000000"/>
                <w:kern w:val="0"/>
                <w:sz w:val="18"/>
                <w:szCs w:val="18"/>
                <w:lang w:bidi="ar"/>
              </w:rPr>
            </w:pPr>
          </w:p>
        </w:tc>
        <w:tc>
          <w:tcPr>
            <w:tcW w:w="417" w:type="pct"/>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图书馆流通人次</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&gt;=50万</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历史标准</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113万</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5</w:t>
            </w:r>
          </w:p>
        </w:tc>
        <w:tc>
          <w:tcPr>
            <w:tcW w:w="37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按照完成比例赋分</w:t>
            </w: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工作资料</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color w:val="000000"/>
                <w:sz w:val="18"/>
                <w:szCs w:val="18"/>
              </w:rPr>
              <w:t>131.2万</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color w:val="000000"/>
                <w:sz w:val="18"/>
                <w:szCs w:val="18"/>
              </w:rPr>
              <w:t>262%</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color w:val="000000"/>
                <w:sz w:val="18"/>
                <w:szCs w:val="18"/>
              </w:rPr>
              <w:t>0</w:t>
            </w:r>
          </w:p>
        </w:tc>
        <w:tc>
          <w:tcPr>
            <w:tcW w:w="86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color w:val="000000"/>
                <w:sz w:val="18"/>
                <w:szCs w:val="18"/>
              </w:rPr>
              <w:t>进一步场馆布局与优化延时服务，可对外借阅图书有较明显增加，周场馆开放时间达到，阅读活动也更加丰富和多样，流通人次有较大幅度提升。</w:t>
            </w:r>
          </w:p>
        </w:tc>
      </w:tr>
      <w:tr>
        <w:tblPrEx>
          <w:tblCellMar>
            <w:top w:w="0" w:type="dxa"/>
            <w:left w:w="108" w:type="dxa"/>
            <w:bottom w:w="0" w:type="dxa"/>
            <w:right w:w="108" w:type="dxa"/>
          </w:tblCellMar>
        </w:tblPrEx>
        <w:trPr>
          <w:trHeight w:val="288" w:hRule="atLeast"/>
        </w:trPr>
        <w:tc>
          <w:tcPr>
            <w:tcW w:w="3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方正仿宋_GBK" w:hAnsi="方正仿宋_GBK" w:eastAsia="方正仿宋_GBK" w:cs="方正仿宋_GBK"/>
                <w:color w:val="000000"/>
                <w:kern w:val="0"/>
                <w:sz w:val="18"/>
                <w:szCs w:val="18"/>
                <w:lang w:bidi="ar"/>
              </w:rPr>
            </w:pPr>
          </w:p>
        </w:tc>
        <w:tc>
          <w:tcPr>
            <w:tcW w:w="362" w:type="pct"/>
            <w:vMerge w:val="continue"/>
            <w:tcBorders>
              <w:left w:val="single" w:color="000000" w:sz="4" w:space="0"/>
              <w:right w:val="single" w:color="000000" w:sz="4" w:space="0"/>
            </w:tcBorders>
            <w:shd w:val="clear" w:color="auto" w:fill="auto"/>
            <w:noWrap/>
            <w:vAlign w:val="center"/>
          </w:tcPr>
          <w:p>
            <w:pPr>
              <w:widowControl/>
              <w:jc w:val="center"/>
              <w:textAlignment w:val="center"/>
              <w:rPr>
                <w:rFonts w:hint="eastAsia" w:ascii="方正仿宋_GBK" w:hAnsi="方正仿宋_GBK" w:eastAsia="方正仿宋_GBK" w:cs="方正仿宋_GBK"/>
                <w:color w:val="000000"/>
                <w:kern w:val="0"/>
                <w:sz w:val="18"/>
                <w:szCs w:val="18"/>
                <w:lang w:bidi="ar"/>
              </w:rPr>
            </w:pPr>
          </w:p>
        </w:tc>
        <w:tc>
          <w:tcPr>
            <w:tcW w:w="417" w:type="pct"/>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图书文献采购数量</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&gt;=12000册</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历史标准</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94550册</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5</w:t>
            </w:r>
          </w:p>
        </w:tc>
        <w:tc>
          <w:tcPr>
            <w:tcW w:w="37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按照完成比例赋分</w:t>
            </w: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工作资料</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color w:val="000000"/>
                <w:sz w:val="18"/>
                <w:szCs w:val="18"/>
              </w:rPr>
              <w:t>14338册</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color w:val="000000"/>
                <w:sz w:val="18"/>
                <w:szCs w:val="18"/>
              </w:rPr>
              <w:t>119%</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color w:val="000000"/>
                <w:sz w:val="18"/>
                <w:szCs w:val="18"/>
              </w:rPr>
              <w:t>4.05</w:t>
            </w:r>
          </w:p>
        </w:tc>
        <w:tc>
          <w:tcPr>
            <w:tcW w:w="86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color w:val="000000"/>
                <w:sz w:val="18"/>
                <w:szCs w:val="18"/>
              </w:rPr>
              <w:t>　</w:t>
            </w:r>
          </w:p>
        </w:tc>
      </w:tr>
      <w:tr>
        <w:tblPrEx>
          <w:tblCellMar>
            <w:top w:w="0" w:type="dxa"/>
            <w:left w:w="108" w:type="dxa"/>
            <w:bottom w:w="0" w:type="dxa"/>
            <w:right w:w="108" w:type="dxa"/>
          </w:tblCellMar>
        </w:tblPrEx>
        <w:trPr>
          <w:trHeight w:val="288" w:hRule="atLeast"/>
        </w:trPr>
        <w:tc>
          <w:tcPr>
            <w:tcW w:w="3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方正仿宋_GBK" w:hAnsi="方正仿宋_GBK" w:eastAsia="方正仿宋_GBK" w:cs="方正仿宋_GBK"/>
                <w:color w:val="000000"/>
                <w:kern w:val="0"/>
                <w:sz w:val="18"/>
                <w:szCs w:val="18"/>
                <w:lang w:bidi="ar"/>
              </w:rPr>
            </w:pPr>
          </w:p>
        </w:tc>
        <w:tc>
          <w:tcPr>
            <w:tcW w:w="362" w:type="pct"/>
            <w:vMerge w:val="continue"/>
            <w:tcBorders>
              <w:left w:val="single" w:color="000000" w:sz="4" w:space="0"/>
              <w:bottom w:val="nil"/>
              <w:right w:val="single" w:color="000000" w:sz="4" w:space="0"/>
            </w:tcBorders>
            <w:shd w:val="clear" w:color="auto" w:fill="auto"/>
            <w:noWrap/>
            <w:vAlign w:val="center"/>
          </w:tcPr>
          <w:p>
            <w:pPr>
              <w:widowControl/>
              <w:jc w:val="center"/>
              <w:textAlignment w:val="center"/>
              <w:rPr>
                <w:rFonts w:hint="eastAsia" w:ascii="方正仿宋_GBK" w:hAnsi="方正仿宋_GBK" w:eastAsia="方正仿宋_GBK" w:cs="方正仿宋_GBK"/>
                <w:color w:val="000000"/>
                <w:kern w:val="0"/>
                <w:sz w:val="18"/>
                <w:szCs w:val="18"/>
                <w:lang w:bidi="ar"/>
              </w:rPr>
            </w:pPr>
          </w:p>
        </w:tc>
        <w:tc>
          <w:tcPr>
            <w:tcW w:w="417" w:type="pct"/>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全民阅读推广系列活动</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sz w:val="18"/>
                <w:szCs w:val="18"/>
              </w:rPr>
            </w:pPr>
            <w:r>
              <w:rPr>
                <w:rFonts w:hint="eastAsia" w:ascii="方正仿宋_GBK" w:hAnsi="方正仿宋_GBK" w:eastAsia="方正仿宋_GBK" w:cs="方正仿宋_GBK"/>
                <w:sz w:val="18"/>
                <w:szCs w:val="18"/>
              </w:rPr>
              <w:t>&gt;=15场</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历史标准</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11场</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5</w:t>
            </w:r>
          </w:p>
        </w:tc>
        <w:tc>
          <w:tcPr>
            <w:tcW w:w="37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按照完成比例赋分</w:t>
            </w: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工作资料</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color w:val="000000"/>
                <w:sz w:val="18"/>
                <w:szCs w:val="18"/>
              </w:rPr>
              <w:t>15场</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color w:val="000000"/>
                <w:sz w:val="18"/>
                <w:szCs w:val="18"/>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color w:val="000000"/>
                <w:sz w:val="18"/>
                <w:szCs w:val="18"/>
              </w:rPr>
              <w:t>5</w:t>
            </w:r>
          </w:p>
        </w:tc>
        <w:tc>
          <w:tcPr>
            <w:tcW w:w="86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color w:val="000000"/>
                <w:sz w:val="18"/>
                <w:szCs w:val="18"/>
              </w:rPr>
              <w:t>　</w:t>
            </w:r>
          </w:p>
        </w:tc>
      </w:tr>
      <w:tr>
        <w:tblPrEx>
          <w:tblCellMar>
            <w:top w:w="0" w:type="dxa"/>
            <w:left w:w="108" w:type="dxa"/>
            <w:bottom w:w="0" w:type="dxa"/>
            <w:right w:w="108" w:type="dxa"/>
          </w:tblCellMar>
        </w:tblPrEx>
        <w:trPr>
          <w:trHeight w:val="288" w:hRule="atLeast"/>
        </w:trPr>
        <w:tc>
          <w:tcPr>
            <w:tcW w:w="3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方正仿宋_GBK" w:hAnsi="方正仿宋_GBK" w:eastAsia="方正仿宋_GBK" w:cs="方正仿宋_GBK"/>
                <w:color w:val="000000"/>
                <w:sz w:val="18"/>
                <w:szCs w:val="18"/>
              </w:rPr>
            </w:pPr>
          </w:p>
        </w:tc>
        <w:tc>
          <w:tcPr>
            <w:tcW w:w="362" w:type="pct"/>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color w:val="000000"/>
                <w:kern w:val="0"/>
                <w:sz w:val="18"/>
                <w:szCs w:val="18"/>
                <w:lang w:bidi="ar"/>
              </w:rPr>
              <w:t>质量指标</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图书验收合格率</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=100%</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历史标准</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100%</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5</w:t>
            </w:r>
          </w:p>
        </w:tc>
        <w:tc>
          <w:tcPr>
            <w:tcW w:w="37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按照完成比例赋分</w:t>
            </w: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工作资料</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color w:val="000000"/>
                <w:sz w:val="18"/>
                <w:szCs w:val="18"/>
              </w:rPr>
              <w:t>100%</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color w:val="000000"/>
                <w:sz w:val="18"/>
                <w:szCs w:val="18"/>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color w:val="000000"/>
                <w:sz w:val="18"/>
                <w:szCs w:val="18"/>
              </w:rPr>
              <w:t>5</w:t>
            </w:r>
          </w:p>
        </w:tc>
        <w:tc>
          <w:tcPr>
            <w:tcW w:w="86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color w:val="000000"/>
                <w:sz w:val="18"/>
                <w:szCs w:val="18"/>
              </w:rPr>
              <w:t>　</w:t>
            </w:r>
          </w:p>
        </w:tc>
      </w:tr>
      <w:tr>
        <w:tblPrEx>
          <w:tblCellMar>
            <w:top w:w="0" w:type="dxa"/>
            <w:left w:w="108" w:type="dxa"/>
            <w:bottom w:w="0" w:type="dxa"/>
            <w:right w:w="108" w:type="dxa"/>
          </w:tblCellMar>
        </w:tblPrEx>
        <w:trPr>
          <w:trHeight w:val="288" w:hRule="atLeast"/>
        </w:trPr>
        <w:tc>
          <w:tcPr>
            <w:tcW w:w="3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方正仿宋_GBK" w:hAnsi="方正仿宋_GBK" w:eastAsia="方正仿宋_GBK" w:cs="方正仿宋_GBK"/>
                <w:color w:val="000000"/>
                <w:sz w:val="18"/>
                <w:szCs w:val="18"/>
              </w:rPr>
            </w:pPr>
          </w:p>
        </w:tc>
        <w:tc>
          <w:tcPr>
            <w:tcW w:w="362" w:type="pct"/>
            <w:vMerge w:val="continue"/>
            <w:tcBorders>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方正仿宋_GBK" w:hAnsi="方正仿宋_GBK" w:eastAsia="方正仿宋_GBK" w:cs="方正仿宋_GBK"/>
                <w:color w:val="000000"/>
                <w:kern w:val="0"/>
                <w:sz w:val="18"/>
                <w:szCs w:val="18"/>
                <w:lang w:bidi="ar"/>
              </w:rPr>
            </w:pP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图书馆正常运行率</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=100%</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历史标准</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100%</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5</w:t>
            </w:r>
          </w:p>
        </w:tc>
        <w:tc>
          <w:tcPr>
            <w:tcW w:w="37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按照完成比例赋分</w:t>
            </w: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工作资料</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color w:val="000000"/>
                <w:sz w:val="18"/>
                <w:szCs w:val="18"/>
              </w:rPr>
              <w:t>100%</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color w:val="000000"/>
                <w:sz w:val="18"/>
                <w:szCs w:val="18"/>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color w:val="000000"/>
                <w:sz w:val="18"/>
                <w:szCs w:val="18"/>
              </w:rPr>
              <w:t>5</w:t>
            </w:r>
          </w:p>
        </w:tc>
        <w:tc>
          <w:tcPr>
            <w:tcW w:w="86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color w:val="000000"/>
                <w:sz w:val="18"/>
                <w:szCs w:val="18"/>
              </w:rPr>
              <w:t>　</w:t>
            </w:r>
          </w:p>
        </w:tc>
      </w:tr>
      <w:tr>
        <w:tblPrEx>
          <w:tblCellMar>
            <w:top w:w="0" w:type="dxa"/>
            <w:left w:w="108" w:type="dxa"/>
            <w:bottom w:w="0" w:type="dxa"/>
            <w:right w:w="108" w:type="dxa"/>
          </w:tblCellMar>
        </w:tblPrEx>
        <w:trPr>
          <w:trHeight w:val="288" w:hRule="atLeast"/>
        </w:trPr>
        <w:tc>
          <w:tcPr>
            <w:tcW w:w="3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方正仿宋_GBK" w:hAnsi="方正仿宋_GBK" w:eastAsia="方正仿宋_GBK" w:cs="方正仿宋_GBK"/>
                <w:color w:val="000000"/>
                <w:sz w:val="18"/>
                <w:szCs w:val="18"/>
              </w:rPr>
            </w:pPr>
          </w:p>
        </w:tc>
        <w:tc>
          <w:tcPr>
            <w:tcW w:w="362" w:type="pct"/>
            <w:vMerge w:val="restart"/>
            <w:tcBorders>
              <w:left w:val="single" w:color="000000" w:sz="4" w:space="0"/>
              <w:right w:val="single" w:color="000000" w:sz="4" w:space="0"/>
            </w:tcBorders>
            <w:shd w:val="clear" w:color="auto" w:fill="auto"/>
            <w:vAlign w:val="center"/>
          </w:tcPr>
          <w:p>
            <w:pPr>
              <w:jc w:val="center"/>
              <w:textAlignment w:val="center"/>
              <w:rPr>
                <w:rFonts w:hint="eastAsia" w:ascii="方正仿宋_GBK" w:hAnsi="方正仿宋_GBK" w:eastAsia="方正仿宋_GBK" w:cs="方正仿宋_GBK"/>
                <w:color w:val="000000"/>
                <w:kern w:val="0"/>
                <w:sz w:val="18"/>
                <w:szCs w:val="18"/>
                <w:lang w:bidi="ar"/>
              </w:rPr>
            </w:pPr>
            <w:r>
              <w:rPr>
                <w:rFonts w:hint="eastAsia" w:ascii="方正仿宋_GBK" w:hAnsi="方正仿宋_GBK" w:eastAsia="方正仿宋_GBK" w:cs="方正仿宋_GBK"/>
                <w:color w:val="000000"/>
                <w:kern w:val="0"/>
                <w:sz w:val="18"/>
                <w:szCs w:val="18"/>
                <w:lang w:bidi="ar"/>
              </w:rPr>
              <w:t>时效指标</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图书采购及时率</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&gt;=90%</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历史标准</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100%</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5</w:t>
            </w:r>
          </w:p>
        </w:tc>
        <w:tc>
          <w:tcPr>
            <w:tcW w:w="37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按照完成比例赋分</w:t>
            </w: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工作资料</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color w:val="000000"/>
                <w:sz w:val="18"/>
                <w:szCs w:val="18"/>
              </w:rPr>
              <w:t>100%</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color w:val="000000"/>
                <w:sz w:val="18"/>
                <w:szCs w:val="18"/>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color w:val="000000"/>
                <w:sz w:val="18"/>
                <w:szCs w:val="18"/>
              </w:rPr>
              <w:t>5</w:t>
            </w:r>
          </w:p>
        </w:tc>
        <w:tc>
          <w:tcPr>
            <w:tcW w:w="86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color w:val="000000"/>
                <w:sz w:val="18"/>
                <w:szCs w:val="18"/>
              </w:rPr>
              <w:t>　</w:t>
            </w:r>
          </w:p>
        </w:tc>
      </w:tr>
      <w:tr>
        <w:tblPrEx>
          <w:tblCellMar>
            <w:top w:w="0" w:type="dxa"/>
            <w:left w:w="108" w:type="dxa"/>
            <w:bottom w:w="0" w:type="dxa"/>
            <w:right w:w="108" w:type="dxa"/>
          </w:tblCellMar>
        </w:tblPrEx>
        <w:trPr>
          <w:trHeight w:val="288" w:hRule="atLeast"/>
        </w:trPr>
        <w:tc>
          <w:tcPr>
            <w:tcW w:w="3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仿宋_GB2312" w:hAnsi="仿宋_GB2312" w:eastAsia="仿宋_GB2312" w:cs="仿宋_GB2312"/>
                <w:color w:val="000000"/>
                <w:sz w:val="18"/>
                <w:szCs w:val="18"/>
              </w:rPr>
            </w:pPr>
          </w:p>
        </w:tc>
        <w:tc>
          <w:tcPr>
            <w:tcW w:w="3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方正仿宋_GBK" w:hAnsi="方正仿宋_GBK" w:eastAsia="方正仿宋_GBK" w:cs="方正仿宋_GBK"/>
                <w:color w:val="000000"/>
                <w:sz w:val="18"/>
                <w:szCs w:val="18"/>
              </w:rPr>
            </w:pPr>
          </w:p>
        </w:tc>
        <w:tc>
          <w:tcPr>
            <w:tcW w:w="362" w:type="pct"/>
            <w:vMerge w:val="continue"/>
            <w:tcBorders>
              <w:left w:val="single" w:color="000000" w:sz="4" w:space="0"/>
              <w:bottom w:val="nil"/>
              <w:right w:val="single" w:color="000000" w:sz="4" w:space="0"/>
            </w:tcBorders>
            <w:shd w:val="clear" w:color="auto" w:fill="auto"/>
            <w:noWrap/>
            <w:vAlign w:val="center"/>
          </w:tcPr>
          <w:p>
            <w:pPr>
              <w:widowControl/>
              <w:jc w:val="center"/>
              <w:textAlignment w:val="center"/>
              <w:rPr>
                <w:rFonts w:hint="eastAsia" w:ascii="方正仿宋_GBK" w:hAnsi="方正仿宋_GBK" w:eastAsia="方正仿宋_GBK" w:cs="方正仿宋_GBK"/>
                <w:color w:val="000000"/>
                <w:sz w:val="18"/>
                <w:szCs w:val="18"/>
              </w:rPr>
            </w:pP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活动按期完成率</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&gt;=90%</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历史标准</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100%</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5</w:t>
            </w:r>
          </w:p>
        </w:tc>
        <w:tc>
          <w:tcPr>
            <w:tcW w:w="37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按照完成比例赋分</w:t>
            </w: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工作资料</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color w:val="000000"/>
                <w:sz w:val="18"/>
                <w:szCs w:val="18"/>
              </w:rPr>
              <w:t>100%</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color w:val="000000"/>
                <w:sz w:val="18"/>
                <w:szCs w:val="18"/>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color w:val="000000"/>
                <w:sz w:val="18"/>
                <w:szCs w:val="18"/>
              </w:rPr>
              <w:t>5</w:t>
            </w:r>
          </w:p>
        </w:tc>
        <w:tc>
          <w:tcPr>
            <w:tcW w:w="86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b/>
                <w:bCs/>
                <w:color w:val="000000"/>
                <w:sz w:val="18"/>
                <w:szCs w:val="18"/>
              </w:rPr>
            </w:pPr>
            <w:r>
              <w:rPr>
                <w:rFonts w:hint="eastAsia" w:ascii="方正仿宋_GBK" w:hAnsi="方正仿宋_GBK" w:eastAsia="方正仿宋_GBK" w:cs="方正仿宋_GBK"/>
                <w:b/>
                <w:bCs/>
                <w:color w:val="000000"/>
                <w:sz w:val="18"/>
                <w:szCs w:val="18"/>
              </w:rPr>
              <w:t>　</w:t>
            </w:r>
          </w:p>
        </w:tc>
      </w:tr>
      <w:tr>
        <w:tblPrEx>
          <w:tblCellMar>
            <w:top w:w="0" w:type="dxa"/>
            <w:left w:w="108" w:type="dxa"/>
            <w:bottom w:w="0" w:type="dxa"/>
            <w:right w:w="108" w:type="dxa"/>
          </w:tblCellMar>
        </w:tblPrEx>
        <w:trPr>
          <w:trHeight w:val="288" w:hRule="atLeast"/>
        </w:trPr>
        <w:tc>
          <w:tcPr>
            <w:tcW w:w="3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仿宋_GB2312" w:hAnsi="仿宋_GB2312" w:eastAsia="仿宋_GB2312" w:cs="仿宋_GB2312"/>
                <w:color w:val="000000"/>
                <w:sz w:val="18"/>
                <w:szCs w:val="18"/>
              </w:rPr>
            </w:pPr>
          </w:p>
        </w:tc>
        <w:tc>
          <w:tcPr>
            <w:tcW w:w="338" w:type="pct"/>
            <w:vMerge w:val="restart"/>
            <w:tcBorders>
              <w:top w:val="single" w:color="000000" w:sz="4" w:space="0"/>
              <w:left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color w:val="000000"/>
                <w:sz w:val="18"/>
                <w:szCs w:val="18"/>
              </w:rPr>
              <w:t>成本指标</w:t>
            </w:r>
          </w:p>
        </w:tc>
        <w:tc>
          <w:tcPr>
            <w:tcW w:w="362" w:type="pct"/>
            <w:vMerge w:val="restart"/>
            <w:tcBorders>
              <w:top w:val="single" w:color="000000" w:sz="4" w:space="0"/>
              <w:left w:val="single" w:color="000000" w:sz="4" w:space="0"/>
              <w:right w:val="single" w:color="000000" w:sz="4" w:space="0"/>
            </w:tcBorders>
            <w:shd w:val="clear" w:color="auto" w:fill="auto"/>
            <w:noWrap/>
            <w:vAlign w:val="center"/>
          </w:tcPr>
          <w:p>
            <w:pPr>
              <w:widowControl/>
              <w:jc w:val="center"/>
              <w:textAlignment w:val="center"/>
              <w:rPr>
                <w:rFonts w:hint="eastAsia" w:ascii="方正仿宋_GBK" w:hAnsi="方正仿宋_GBK" w:eastAsia="方正仿宋_GBK" w:cs="方正仿宋_GBK"/>
                <w:color w:val="000000"/>
                <w:kern w:val="0"/>
                <w:sz w:val="18"/>
                <w:szCs w:val="18"/>
                <w:highlight w:val="red"/>
                <w:lang w:bidi="ar"/>
              </w:rPr>
            </w:pPr>
            <w:r>
              <w:rPr>
                <w:rFonts w:hint="eastAsia" w:ascii="方正仿宋_GBK" w:hAnsi="方正仿宋_GBK" w:eastAsia="方正仿宋_GBK" w:cs="方正仿宋_GBK"/>
                <w:color w:val="000000"/>
                <w:kern w:val="0"/>
                <w:sz w:val="18"/>
                <w:szCs w:val="18"/>
                <w:lang w:bidi="ar"/>
              </w:rPr>
              <w:t>经济成本指标</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场馆运行成本</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&lt;=100万元</w:t>
            </w:r>
          </w:p>
        </w:tc>
        <w:tc>
          <w:tcPr>
            <w:tcW w:w="352"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计划标准</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100万元</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5</w:t>
            </w:r>
          </w:p>
        </w:tc>
        <w:tc>
          <w:tcPr>
            <w:tcW w:w="372" w:type="pct"/>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按照完成比例赋分</w:t>
            </w: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原始凭证</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100万元</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color w:val="000000"/>
                <w:sz w:val="18"/>
                <w:szCs w:val="18"/>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color w:val="000000"/>
                <w:sz w:val="18"/>
                <w:szCs w:val="18"/>
              </w:rPr>
              <w:t>5</w:t>
            </w:r>
          </w:p>
        </w:tc>
        <w:tc>
          <w:tcPr>
            <w:tcW w:w="86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color w:val="000000"/>
                <w:sz w:val="18"/>
                <w:szCs w:val="18"/>
              </w:rPr>
              <w:t>　</w:t>
            </w:r>
          </w:p>
        </w:tc>
      </w:tr>
      <w:tr>
        <w:tblPrEx>
          <w:tblCellMar>
            <w:top w:w="0" w:type="dxa"/>
            <w:left w:w="108" w:type="dxa"/>
            <w:bottom w:w="0" w:type="dxa"/>
            <w:right w:w="108" w:type="dxa"/>
          </w:tblCellMar>
        </w:tblPrEx>
        <w:trPr>
          <w:trHeight w:val="288" w:hRule="atLeast"/>
        </w:trPr>
        <w:tc>
          <w:tcPr>
            <w:tcW w:w="3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仿宋_GB2312" w:hAnsi="仿宋_GB2312" w:eastAsia="仿宋_GB2312" w:cs="仿宋_GB2312"/>
                <w:color w:val="000000"/>
                <w:sz w:val="18"/>
                <w:szCs w:val="18"/>
              </w:rPr>
            </w:pPr>
          </w:p>
        </w:tc>
        <w:tc>
          <w:tcPr>
            <w:tcW w:w="338" w:type="pct"/>
            <w:vMerge w:val="continue"/>
            <w:tcBorders>
              <w:left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p>
        </w:tc>
        <w:tc>
          <w:tcPr>
            <w:tcW w:w="362" w:type="pct"/>
            <w:vMerge w:val="continue"/>
            <w:tcBorders>
              <w:left w:val="single" w:color="000000" w:sz="4" w:space="0"/>
              <w:right w:val="single" w:color="000000" w:sz="4" w:space="0"/>
            </w:tcBorders>
            <w:shd w:val="clear" w:color="auto" w:fill="auto"/>
            <w:noWrap/>
            <w:vAlign w:val="center"/>
          </w:tcPr>
          <w:p>
            <w:pPr>
              <w:widowControl/>
              <w:jc w:val="center"/>
              <w:textAlignment w:val="center"/>
              <w:rPr>
                <w:rFonts w:hint="eastAsia" w:ascii="方正仿宋_GBK" w:hAnsi="方正仿宋_GBK" w:eastAsia="方正仿宋_GBK" w:cs="方正仿宋_GBK"/>
                <w:color w:val="000000"/>
                <w:kern w:val="0"/>
                <w:sz w:val="18"/>
                <w:szCs w:val="18"/>
                <w:lang w:bidi="ar"/>
              </w:rPr>
            </w:pP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读者服务业务经费</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&lt;=210万元</w:t>
            </w:r>
          </w:p>
        </w:tc>
        <w:tc>
          <w:tcPr>
            <w:tcW w:w="352"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计划标准</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210万元</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5</w:t>
            </w:r>
          </w:p>
        </w:tc>
        <w:tc>
          <w:tcPr>
            <w:tcW w:w="372" w:type="pct"/>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按照完成比例赋分</w:t>
            </w: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原始凭证</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240万元</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color w:val="000000"/>
                <w:sz w:val="18"/>
                <w:szCs w:val="18"/>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color w:val="000000"/>
                <w:sz w:val="18"/>
                <w:szCs w:val="18"/>
              </w:rPr>
              <w:t>5</w:t>
            </w:r>
          </w:p>
        </w:tc>
        <w:tc>
          <w:tcPr>
            <w:tcW w:w="86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color w:val="000000"/>
                <w:sz w:val="18"/>
                <w:szCs w:val="18"/>
              </w:rPr>
              <w:t>　</w:t>
            </w:r>
          </w:p>
        </w:tc>
      </w:tr>
      <w:tr>
        <w:tblPrEx>
          <w:tblCellMar>
            <w:top w:w="0" w:type="dxa"/>
            <w:left w:w="108" w:type="dxa"/>
            <w:bottom w:w="0" w:type="dxa"/>
            <w:right w:w="108" w:type="dxa"/>
          </w:tblCellMar>
        </w:tblPrEx>
        <w:trPr>
          <w:trHeight w:val="288" w:hRule="atLeast"/>
        </w:trPr>
        <w:tc>
          <w:tcPr>
            <w:tcW w:w="3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仿宋_GB2312" w:hAnsi="仿宋_GB2312" w:eastAsia="仿宋_GB2312" w:cs="仿宋_GB2312"/>
                <w:color w:val="000000"/>
                <w:sz w:val="18"/>
                <w:szCs w:val="18"/>
              </w:rPr>
            </w:pPr>
          </w:p>
        </w:tc>
        <w:tc>
          <w:tcPr>
            <w:tcW w:w="338" w:type="pct"/>
            <w:vMerge w:val="continue"/>
            <w:tcBorders>
              <w:left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p>
        </w:tc>
        <w:tc>
          <w:tcPr>
            <w:tcW w:w="362" w:type="pct"/>
            <w:vMerge w:val="continue"/>
            <w:tcBorders>
              <w:left w:val="single" w:color="000000" w:sz="4" w:space="0"/>
              <w:right w:val="single" w:color="000000" w:sz="4" w:space="0"/>
            </w:tcBorders>
            <w:shd w:val="clear" w:color="auto" w:fill="auto"/>
            <w:noWrap/>
            <w:vAlign w:val="center"/>
          </w:tcPr>
          <w:p>
            <w:pPr>
              <w:widowControl/>
              <w:jc w:val="center"/>
              <w:textAlignment w:val="center"/>
              <w:rPr>
                <w:rFonts w:hint="eastAsia" w:ascii="方正仿宋_GBK" w:hAnsi="方正仿宋_GBK" w:eastAsia="方正仿宋_GBK" w:cs="方正仿宋_GBK"/>
                <w:color w:val="000000"/>
                <w:kern w:val="0"/>
                <w:sz w:val="18"/>
                <w:szCs w:val="18"/>
                <w:lang w:bidi="ar"/>
              </w:rPr>
            </w:pP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全民阅读推广系列活动经费</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&lt;=100万元</w:t>
            </w:r>
          </w:p>
        </w:tc>
        <w:tc>
          <w:tcPr>
            <w:tcW w:w="352"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计划标准</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100万元</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5</w:t>
            </w:r>
          </w:p>
        </w:tc>
        <w:tc>
          <w:tcPr>
            <w:tcW w:w="372" w:type="pct"/>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按照完成比例赋分</w:t>
            </w: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原始凭证</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120万元</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color w:val="000000"/>
                <w:sz w:val="18"/>
                <w:szCs w:val="18"/>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color w:val="000000"/>
                <w:sz w:val="18"/>
                <w:szCs w:val="18"/>
              </w:rPr>
              <w:t>5</w:t>
            </w:r>
          </w:p>
        </w:tc>
        <w:tc>
          <w:tcPr>
            <w:tcW w:w="86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color w:val="000000"/>
                <w:sz w:val="18"/>
                <w:szCs w:val="18"/>
              </w:rPr>
              <w:t>　</w:t>
            </w:r>
          </w:p>
        </w:tc>
      </w:tr>
      <w:tr>
        <w:tblPrEx>
          <w:tblCellMar>
            <w:top w:w="0" w:type="dxa"/>
            <w:left w:w="108" w:type="dxa"/>
            <w:bottom w:w="0" w:type="dxa"/>
            <w:right w:w="108" w:type="dxa"/>
          </w:tblCellMar>
        </w:tblPrEx>
        <w:trPr>
          <w:trHeight w:val="288" w:hRule="atLeast"/>
        </w:trPr>
        <w:tc>
          <w:tcPr>
            <w:tcW w:w="3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仿宋_GB2312" w:hAnsi="仿宋_GB2312" w:eastAsia="仿宋_GB2312" w:cs="仿宋_GB2312"/>
                <w:color w:val="000000"/>
                <w:sz w:val="18"/>
                <w:szCs w:val="18"/>
              </w:rPr>
            </w:pPr>
          </w:p>
        </w:tc>
        <w:tc>
          <w:tcPr>
            <w:tcW w:w="338" w:type="pct"/>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p>
        </w:tc>
        <w:tc>
          <w:tcPr>
            <w:tcW w:w="362" w:type="pct"/>
            <w:vMerge w:val="continue"/>
            <w:tcBorders>
              <w:left w:val="single" w:color="000000" w:sz="4" w:space="0"/>
              <w:bottom w:val="nil"/>
              <w:right w:val="single" w:color="000000" w:sz="4" w:space="0"/>
            </w:tcBorders>
            <w:shd w:val="clear" w:color="auto" w:fill="auto"/>
            <w:noWrap/>
            <w:vAlign w:val="center"/>
          </w:tcPr>
          <w:p>
            <w:pPr>
              <w:widowControl/>
              <w:jc w:val="center"/>
              <w:textAlignment w:val="center"/>
              <w:rPr>
                <w:rFonts w:hint="eastAsia" w:ascii="方正仿宋_GBK" w:hAnsi="方正仿宋_GBK" w:eastAsia="方正仿宋_GBK" w:cs="方正仿宋_GBK"/>
                <w:color w:val="000000"/>
                <w:kern w:val="0"/>
                <w:sz w:val="18"/>
                <w:szCs w:val="18"/>
                <w:lang w:bidi="ar"/>
              </w:rPr>
            </w:pP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图书文献采购</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&lt;=210万元</w:t>
            </w:r>
          </w:p>
        </w:tc>
        <w:tc>
          <w:tcPr>
            <w:tcW w:w="352"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计划标准</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210万元</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5</w:t>
            </w:r>
          </w:p>
        </w:tc>
        <w:tc>
          <w:tcPr>
            <w:tcW w:w="372" w:type="pct"/>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按照完成比例赋分</w:t>
            </w: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原始凭证</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160万元</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color w:val="000000"/>
                <w:sz w:val="18"/>
                <w:szCs w:val="18"/>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color w:val="000000"/>
                <w:sz w:val="18"/>
                <w:szCs w:val="18"/>
              </w:rPr>
              <w:t>5</w:t>
            </w:r>
          </w:p>
        </w:tc>
        <w:tc>
          <w:tcPr>
            <w:tcW w:w="86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color w:val="000000"/>
                <w:sz w:val="18"/>
                <w:szCs w:val="18"/>
              </w:rPr>
              <w:t>　</w:t>
            </w:r>
          </w:p>
        </w:tc>
      </w:tr>
      <w:tr>
        <w:tblPrEx>
          <w:tblCellMar>
            <w:top w:w="0" w:type="dxa"/>
            <w:left w:w="108" w:type="dxa"/>
            <w:bottom w:w="0" w:type="dxa"/>
            <w:right w:w="108" w:type="dxa"/>
          </w:tblCellMar>
        </w:tblPrEx>
        <w:trPr>
          <w:trHeight w:val="288" w:hRule="atLeast"/>
        </w:trPr>
        <w:tc>
          <w:tcPr>
            <w:tcW w:w="3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仿宋_GB2312" w:hAnsi="仿宋_GB2312" w:eastAsia="仿宋_GB2312" w:cs="仿宋_GB2312"/>
                <w:color w:val="000000"/>
                <w:sz w:val="18"/>
                <w:szCs w:val="18"/>
              </w:rPr>
            </w:pPr>
          </w:p>
        </w:tc>
        <w:tc>
          <w:tcPr>
            <w:tcW w:w="33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color w:val="000000"/>
                <w:kern w:val="0"/>
                <w:sz w:val="18"/>
                <w:szCs w:val="18"/>
                <w:lang w:bidi="ar"/>
              </w:rPr>
              <w:t>效益指标</w:t>
            </w:r>
          </w:p>
        </w:tc>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color w:val="000000"/>
                <w:kern w:val="0"/>
                <w:sz w:val="18"/>
                <w:szCs w:val="18"/>
                <w:lang w:bidi="ar"/>
              </w:rPr>
              <w:t>社会效益指标</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保障公众知识获取与使用公共空间的权利</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有所保障</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行业标准</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有所保障</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20</w:t>
            </w:r>
          </w:p>
        </w:tc>
        <w:tc>
          <w:tcPr>
            <w:tcW w:w="37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按评判等级赋分</w:t>
            </w: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说明材料</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有所保障</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color w:val="000000"/>
                <w:sz w:val="18"/>
                <w:szCs w:val="18"/>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color w:val="000000"/>
                <w:sz w:val="18"/>
                <w:szCs w:val="18"/>
              </w:rPr>
              <w:t>20</w:t>
            </w:r>
          </w:p>
        </w:tc>
        <w:tc>
          <w:tcPr>
            <w:tcW w:w="86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color w:val="000000"/>
                <w:sz w:val="18"/>
                <w:szCs w:val="18"/>
              </w:rPr>
              <w:t>　</w:t>
            </w:r>
          </w:p>
        </w:tc>
      </w:tr>
      <w:tr>
        <w:tblPrEx>
          <w:tblCellMar>
            <w:top w:w="0" w:type="dxa"/>
            <w:left w:w="108" w:type="dxa"/>
            <w:bottom w:w="0" w:type="dxa"/>
            <w:right w:w="108" w:type="dxa"/>
          </w:tblCellMar>
        </w:tblPrEx>
        <w:trPr>
          <w:trHeight w:val="288" w:hRule="atLeast"/>
        </w:trPr>
        <w:tc>
          <w:tcPr>
            <w:tcW w:w="3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仿宋_GB2312" w:hAnsi="仿宋_GB2312" w:eastAsia="仿宋_GB2312" w:cs="仿宋_GB2312"/>
                <w:color w:val="000000"/>
                <w:sz w:val="18"/>
                <w:szCs w:val="18"/>
              </w:rPr>
            </w:pPr>
          </w:p>
        </w:tc>
        <w:tc>
          <w:tcPr>
            <w:tcW w:w="338" w:type="pct"/>
            <w:vMerge w:val="restart"/>
            <w:tcBorders>
              <w:top w:val="single" w:color="000000" w:sz="4" w:space="0"/>
              <w:left w:val="single" w:color="000000" w:sz="4" w:space="0"/>
              <w:right w:val="single" w:color="000000" w:sz="4" w:space="0"/>
            </w:tcBorders>
            <w:shd w:val="clear" w:color="auto" w:fill="auto"/>
            <w:vAlign w:val="center"/>
          </w:tcPr>
          <w:p>
            <w:pPr>
              <w:jc w:val="center"/>
              <w:textAlignment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color w:val="000000"/>
                <w:kern w:val="0"/>
                <w:sz w:val="18"/>
                <w:szCs w:val="18"/>
                <w:lang w:bidi="ar"/>
              </w:rPr>
              <w:t>满意度指标</w:t>
            </w:r>
          </w:p>
        </w:tc>
        <w:tc>
          <w:tcPr>
            <w:tcW w:w="362" w:type="pct"/>
            <w:vMerge w:val="restart"/>
            <w:tcBorders>
              <w:top w:val="single" w:color="000000" w:sz="4" w:space="0"/>
              <w:left w:val="single" w:color="000000" w:sz="4" w:space="0"/>
              <w:right w:val="single" w:color="000000" w:sz="4" w:space="0"/>
            </w:tcBorders>
            <w:shd w:val="clear" w:color="auto" w:fill="auto"/>
            <w:vAlign w:val="center"/>
          </w:tcPr>
          <w:p>
            <w:pPr>
              <w:jc w:val="center"/>
              <w:textAlignment w:val="center"/>
              <w:rPr>
                <w:rFonts w:hint="eastAsia" w:ascii="方正仿宋_GBK" w:hAnsi="方正仿宋_GBK" w:eastAsia="方正仿宋_GBK" w:cs="方正仿宋_GBK"/>
                <w:color w:val="000000"/>
                <w:kern w:val="0"/>
                <w:sz w:val="18"/>
                <w:szCs w:val="18"/>
                <w:lang w:bidi="ar"/>
              </w:rPr>
            </w:pPr>
            <w:r>
              <w:rPr>
                <w:rFonts w:hint="eastAsia" w:ascii="方正仿宋_GBK" w:hAnsi="方正仿宋_GBK" w:eastAsia="方正仿宋_GBK" w:cs="方正仿宋_GBK"/>
                <w:color w:val="000000"/>
                <w:kern w:val="0"/>
                <w:sz w:val="18"/>
                <w:szCs w:val="18"/>
                <w:lang w:bidi="ar"/>
              </w:rPr>
              <w:t>满意度指标</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读者满意度</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&gt;=90%</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行业标准</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97%</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5</w:t>
            </w:r>
          </w:p>
        </w:tc>
        <w:tc>
          <w:tcPr>
            <w:tcW w:w="37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满意度赋分</w:t>
            </w: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工作资料</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color w:val="000000"/>
                <w:sz w:val="18"/>
                <w:szCs w:val="18"/>
              </w:rPr>
              <w:t>97%</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color w:val="000000"/>
                <w:sz w:val="18"/>
                <w:szCs w:val="18"/>
              </w:rPr>
              <w:t>107%</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color w:val="000000"/>
                <w:sz w:val="18"/>
                <w:szCs w:val="18"/>
              </w:rPr>
              <w:t>5</w:t>
            </w:r>
          </w:p>
        </w:tc>
        <w:tc>
          <w:tcPr>
            <w:tcW w:w="86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color w:val="000000"/>
                <w:sz w:val="18"/>
                <w:szCs w:val="18"/>
              </w:rPr>
              <w:t>　</w:t>
            </w:r>
          </w:p>
        </w:tc>
      </w:tr>
      <w:tr>
        <w:tblPrEx>
          <w:tblCellMar>
            <w:top w:w="0" w:type="dxa"/>
            <w:left w:w="108" w:type="dxa"/>
            <w:bottom w:w="0" w:type="dxa"/>
            <w:right w:w="108" w:type="dxa"/>
          </w:tblCellMar>
        </w:tblPrEx>
        <w:trPr>
          <w:trHeight w:val="288" w:hRule="atLeast"/>
        </w:trPr>
        <w:tc>
          <w:tcPr>
            <w:tcW w:w="3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仿宋_GB2312" w:hAnsi="仿宋_GB2312" w:eastAsia="仿宋_GB2312" w:cs="仿宋_GB2312"/>
                <w:color w:val="000000"/>
                <w:sz w:val="18"/>
                <w:szCs w:val="18"/>
              </w:rPr>
            </w:pPr>
          </w:p>
        </w:tc>
        <w:tc>
          <w:tcPr>
            <w:tcW w:w="338" w:type="pct"/>
            <w:vMerge w:val="continue"/>
            <w:tcBorders>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方正仿宋_GBK" w:hAnsi="方正仿宋_GBK" w:eastAsia="方正仿宋_GBK" w:cs="方正仿宋_GBK"/>
                <w:color w:val="000000"/>
                <w:sz w:val="18"/>
                <w:szCs w:val="18"/>
              </w:rPr>
            </w:pPr>
          </w:p>
        </w:tc>
        <w:tc>
          <w:tcPr>
            <w:tcW w:w="362" w:type="pct"/>
            <w:vMerge w:val="continue"/>
            <w:tcBorders>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方正仿宋_GBK" w:hAnsi="方正仿宋_GBK" w:eastAsia="方正仿宋_GBK" w:cs="方正仿宋_GBK"/>
                <w:color w:val="000000"/>
                <w:sz w:val="18"/>
                <w:szCs w:val="18"/>
              </w:rPr>
            </w:pP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参加活动人员满意度</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&gt;=90%</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历史标准</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96%</w:t>
            </w: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5</w:t>
            </w:r>
          </w:p>
        </w:tc>
        <w:tc>
          <w:tcPr>
            <w:tcW w:w="37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满意度赋分</w:t>
            </w: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sz w:val="18"/>
                <w:szCs w:val="18"/>
              </w:rPr>
              <w:t>工作资料</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color w:val="000000"/>
                <w:sz w:val="18"/>
                <w:szCs w:val="18"/>
              </w:rPr>
              <w:t>96%</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color w:val="000000"/>
                <w:sz w:val="18"/>
                <w:szCs w:val="18"/>
              </w:rPr>
              <w:t>106%</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color w:val="000000"/>
                <w:sz w:val="18"/>
                <w:szCs w:val="18"/>
              </w:rPr>
              <w:t>5</w:t>
            </w:r>
          </w:p>
        </w:tc>
        <w:tc>
          <w:tcPr>
            <w:tcW w:w="86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color w:val="000000"/>
                <w:sz w:val="18"/>
                <w:szCs w:val="18"/>
              </w:rPr>
              <w:t>　</w:t>
            </w:r>
          </w:p>
        </w:tc>
      </w:tr>
      <w:tr>
        <w:tblPrEx>
          <w:tblCellMar>
            <w:top w:w="0" w:type="dxa"/>
            <w:left w:w="108" w:type="dxa"/>
            <w:bottom w:w="0" w:type="dxa"/>
            <w:right w:w="108" w:type="dxa"/>
          </w:tblCellMar>
        </w:tblPrEx>
        <w:trPr>
          <w:trHeight w:val="288" w:hRule="atLeast"/>
        </w:trPr>
        <w:tc>
          <w:tcPr>
            <w:tcW w:w="1434" w:type="pct"/>
            <w:gridSpan w:val="4"/>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lang w:bidi="ar"/>
              </w:rPr>
              <w:t>总分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352" w:type="pct"/>
            <w:tcBorders>
              <w:top w:val="single" w:color="000000" w:sz="4" w:space="0"/>
              <w:left w:val="nil"/>
              <w:bottom w:val="single" w:color="000000" w:sz="4" w:space="0"/>
              <w:right w:val="single" w:color="000000" w:sz="4" w:space="0"/>
            </w:tcBorders>
            <w:shd w:val="clear" w:color="auto" w:fill="auto"/>
            <w:vAlign w:val="center"/>
          </w:tcPr>
          <w:p>
            <w:pPr>
              <w:rPr>
                <w:rFonts w:ascii="仿宋_GB2312" w:hAnsi="仿宋_GB2312" w:eastAsia="仿宋_GB2312" w:cs="仿宋_GB2312"/>
                <w:b/>
                <w:bCs/>
                <w:color w:val="000000"/>
                <w:sz w:val="18"/>
                <w:szCs w:val="18"/>
              </w:rPr>
            </w:pP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2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37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仿宋_GB2312" w:eastAsia="仿宋_GB2312" w:cs="仿宋_GB2312"/>
                <w:color w:val="000000"/>
                <w:sz w:val="18"/>
                <w:szCs w:val="18"/>
              </w:rPr>
            </w:pP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仿宋_GB2312" w:eastAsia="仿宋_GB2312" w:cs="仿宋_GB2312"/>
                <w:color w:val="000000"/>
                <w:sz w:val="18"/>
                <w:szCs w:val="18"/>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仿宋_GB2312" w:eastAsia="仿宋_GB2312" w:cs="仿宋_GB2312"/>
                <w:color w:val="000000"/>
                <w:sz w:val="18"/>
                <w:szCs w:val="18"/>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ascii="仿宋_GB2312" w:hAnsi="仿宋_GB2312" w:eastAsia="仿宋_GB2312" w:cs="仿宋_GB2312"/>
                <w:color w:val="000000"/>
                <w:sz w:val="18"/>
                <w:szCs w:val="18"/>
              </w:rPr>
              <w:t>94.05</w:t>
            </w:r>
          </w:p>
        </w:tc>
        <w:tc>
          <w:tcPr>
            <w:tcW w:w="869"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仿宋_GB2312" w:eastAsia="仿宋_GB2312" w:cs="仿宋_GB2312"/>
                <w:color w:val="000000"/>
                <w:sz w:val="18"/>
                <w:szCs w:val="18"/>
              </w:rPr>
            </w:pPr>
          </w:p>
        </w:tc>
      </w:tr>
    </w:tbl>
    <w:p>
      <w:pPr>
        <w:spacing w:line="600" w:lineRule="exact"/>
      </w:pPr>
    </w:p>
    <w:sectPr>
      <w:pgSz w:w="16838" w:h="11906" w:orient="landscape"/>
      <w:pgMar w:top="780" w:right="1440" w:bottom="1466" w:left="8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0" w:usb3="00000000" w:csb0="2000019F" w:csb1="00000000"/>
  </w:font>
  <w:font w:name="仿宋_GB2312">
    <w:altName w:val="方正仿宋_GBK"/>
    <w:panose1 w:val="02010609030101010101"/>
    <w:charset w:val="86"/>
    <w:family w:val="modern"/>
    <w:pitch w:val="default"/>
    <w:sig w:usb0="00000000" w:usb1="0000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楷体_GB2312">
    <w:altName w:val="方正楷体_GBK"/>
    <w:panose1 w:val="02010609030101010101"/>
    <w:charset w:val="86"/>
    <w:family w:val="modern"/>
    <w:pitch w:val="default"/>
    <w:sig w:usb0="00000000" w:usb1="00000000" w:usb2="00000000" w:usb3="00000000" w:csb0="00040000" w:csb1="00000000"/>
  </w:font>
  <w:font w:name="方正仿宋_GBK">
    <w:panose1 w:val="02000000000000000000"/>
    <w:charset w:val="86"/>
    <w:family w:val="script"/>
    <w:pitch w:val="default"/>
    <w:sig w:usb0="00000001" w:usb1="08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Noto Sans CJK JP Bold">
    <w:panose1 w:val="020B0800000000000000"/>
    <w:charset w:val="86"/>
    <w:family w:val="auto"/>
    <w:pitch w:val="default"/>
    <w:sig w:usb0="30000003" w:usb1="2BDF3C10" w:usb2="00000016" w:usb3="00000000" w:csb0="602E0107" w:csb1="00000000"/>
  </w:font>
  <w:font w:name="方正楷体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pPr>
          <w:pStyle w:val="7"/>
          <w:jc w:val="center"/>
        </w:pPr>
        <w:r>
          <w:fldChar w:fldCharType="begin"/>
        </w:r>
        <w:r>
          <w:instrText xml:space="preserve">PAGE   \* MERGEFORMAT</w:instrText>
        </w:r>
        <w:r>
          <w:fldChar w:fldCharType="separate"/>
        </w:r>
        <w:r>
          <w:rPr>
            <w:lang w:val="zh-CN"/>
          </w:rPr>
          <w:t>30</w:t>
        </w:r>
        <w: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9379A8"/>
    <w:multiLevelType w:val="singleLevel"/>
    <w:tmpl w:val="FF9379A8"/>
    <w:lvl w:ilvl="0" w:tentative="0">
      <w:start w:val="2"/>
      <w:numFmt w:val="chineseCounting"/>
      <w:suff w:val="nothing"/>
      <w:lvlText w:val="（%1）"/>
      <w:lvlJc w:val="left"/>
      <w:rPr>
        <w:rFonts w:hint="eastAsia"/>
      </w:rPr>
    </w:lvl>
  </w:abstractNum>
  <w:abstractNum w:abstractNumId="1">
    <w:nsid w:val="116B29BF"/>
    <w:multiLevelType w:val="singleLevel"/>
    <w:tmpl w:val="116B29BF"/>
    <w:lvl w:ilvl="0" w:tentative="0">
      <w:start w:val="3"/>
      <w:numFmt w:val="chineseCounting"/>
      <w:suff w:val="nothing"/>
      <w:lvlText w:val="%1、"/>
      <w:lvlJc w:val="left"/>
      <w:rPr>
        <w:rFonts w:hint="eastAsia"/>
      </w:rPr>
    </w:lvl>
  </w:abstractNum>
  <w:abstractNum w:abstractNumId="2">
    <w:nsid w:val="27813159"/>
    <w:multiLevelType w:val="singleLevel"/>
    <w:tmpl w:val="27813159"/>
    <w:lvl w:ilvl="0" w:tentative="0">
      <w:start w:val="3"/>
      <w:numFmt w:val="chineseCounting"/>
      <w:suff w:val="nothing"/>
      <w:lvlText w:val="（%1）"/>
      <w:lvlJc w:val="left"/>
      <w:rPr>
        <w:rFonts w:hint="eastAsia"/>
      </w:rPr>
    </w:lvl>
  </w:abstractNum>
  <w:abstractNum w:abstractNumId="3">
    <w:nsid w:val="6FAA0AB1"/>
    <w:multiLevelType w:val="singleLevel"/>
    <w:tmpl w:val="6FAA0AB1"/>
    <w:lvl w:ilvl="0" w:tentative="0">
      <w:start w:val="2"/>
      <w:numFmt w:val="chineseCounting"/>
      <w:suff w:val="nothing"/>
      <w:lvlText w:val="（%1）"/>
      <w:lvlJc w:val="left"/>
      <w:rPr>
        <w:rFonts w:hint="eastAsia"/>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I0MzU5NDliYzM4MTRjNjJkMmQwNmY4MGI2NDAzZWUifQ=="/>
  </w:docVars>
  <w:rsids>
    <w:rsidRoot w:val="FF6C4049"/>
    <w:rsid w:val="0000003A"/>
    <w:rsid w:val="00002469"/>
    <w:rsid w:val="00005394"/>
    <w:rsid w:val="0003383C"/>
    <w:rsid w:val="0007001A"/>
    <w:rsid w:val="00091A31"/>
    <w:rsid w:val="000A01AA"/>
    <w:rsid w:val="000D7C99"/>
    <w:rsid w:val="000F729D"/>
    <w:rsid w:val="001244FB"/>
    <w:rsid w:val="001314D4"/>
    <w:rsid w:val="00133717"/>
    <w:rsid w:val="00156FB6"/>
    <w:rsid w:val="001572C2"/>
    <w:rsid w:val="0016705E"/>
    <w:rsid w:val="001A63FD"/>
    <w:rsid w:val="001B3ECC"/>
    <w:rsid w:val="001C42F8"/>
    <w:rsid w:val="001C6BA9"/>
    <w:rsid w:val="001D313B"/>
    <w:rsid w:val="001E7DAF"/>
    <w:rsid w:val="00257AEF"/>
    <w:rsid w:val="002850FE"/>
    <w:rsid w:val="0029089E"/>
    <w:rsid w:val="002C10B5"/>
    <w:rsid w:val="002D40CC"/>
    <w:rsid w:val="00303D1F"/>
    <w:rsid w:val="00304F48"/>
    <w:rsid w:val="00324E38"/>
    <w:rsid w:val="00337824"/>
    <w:rsid w:val="003378D4"/>
    <w:rsid w:val="00342450"/>
    <w:rsid w:val="003957A5"/>
    <w:rsid w:val="003959B0"/>
    <w:rsid w:val="003B4082"/>
    <w:rsid w:val="003E160D"/>
    <w:rsid w:val="00411D03"/>
    <w:rsid w:val="004334E3"/>
    <w:rsid w:val="00451776"/>
    <w:rsid w:val="00455736"/>
    <w:rsid w:val="00461759"/>
    <w:rsid w:val="00491D8D"/>
    <w:rsid w:val="00492607"/>
    <w:rsid w:val="004A20C4"/>
    <w:rsid w:val="004B4637"/>
    <w:rsid w:val="004E214A"/>
    <w:rsid w:val="00527CA3"/>
    <w:rsid w:val="00545D51"/>
    <w:rsid w:val="00547C7F"/>
    <w:rsid w:val="005B0D08"/>
    <w:rsid w:val="005B7709"/>
    <w:rsid w:val="005C5FD7"/>
    <w:rsid w:val="005C7D16"/>
    <w:rsid w:val="005E3B93"/>
    <w:rsid w:val="005F57C5"/>
    <w:rsid w:val="00627330"/>
    <w:rsid w:val="00630E7A"/>
    <w:rsid w:val="006440A5"/>
    <w:rsid w:val="0065638E"/>
    <w:rsid w:val="00657347"/>
    <w:rsid w:val="00686293"/>
    <w:rsid w:val="006B6AD4"/>
    <w:rsid w:val="006C5229"/>
    <w:rsid w:val="006E515D"/>
    <w:rsid w:val="006E52DD"/>
    <w:rsid w:val="006F7242"/>
    <w:rsid w:val="00705095"/>
    <w:rsid w:val="00721F05"/>
    <w:rsid w:val="007366B8"/>
    <w:rsid w:val="00764CDD"/>
    <w:rsid w:val="00792F84"/>
    <w:rsid w:val="007B168A"/>
    <w:rsid w:val="007D4541"/>
    <w:rsid w:val="007E384F"/>
    <w:rsid w:val="00803996"/>
    <w:rsid w:val="008060ED"/>
    <w:rsid w:val="00832DF2"/>
    <w:rsid w:val="00833D77"/>
    <w:rsid w:val="00845E9A"/>
    <w:rsid w:val="0084791F"/>
    <w:rsid w:val="00870739"/>
    <w:rsid w:val="0087528C"/>
    <w:rsid w:val="00877574"/>
    <w:rsid w:val="0088247C"/>
    <w:rsid w:val="008A1707"/>
    <w:rsid w:val="008B2CFE"/>
    <w:rsid w:val="008D0188"/>
    <w:rsid w:val="008D6BC5"/>
    <w:rsid w:val="008E1E76"/>
    <w:rsid w:val="00922496"/>
    <w:rsid w:val="00974DBA"/>
    <w:rsid w:val="009A499F"/>
    <w:rsid w:val="009C6ED2"/>
    <w:rsid w:val="009D6AA4"/>
    <w:rsid w:val="00A138A2"/>
    <w:rsid w:val="00A31A56"/>
    <w:rsid w:val="00A422F9"/>
    <w:rsid w:val="00A42353"/>
    <w:rsid w:val="00A65E78"/>
    <w:rsid w:val="00A75D60"/>
    <w:rsid w:val="00A91681"/>
    <w:rsid w:val="00A93256"/>
    <w:rsid w:val="00A944C9"/>
    <w:rsid w:val="00AA125B"/>
    <w:rsid w:val="00AA4562"/>
    <w:rsid w:val="00AC057A"/>
    <w:rsid w:val="00AC3BE4"/>
    <w:rsid w:val="00AE537E"/>
    <w:rsid w:val="00B433BD"/>
    <w:rsid w:val="00B447F2"/>
    <w:rsid w:val="00B5117F"/>
    <w:rsid w:val="00B51E2C"/>
    <w:rsid w:val="00B74971"/>
    <w:rsid w:val="00B928BB"/>
    <w:rsid w:val="00BE24A7"/>
    <w:rsid w:val="00BF2D32"/>
    <w:rsid w:val="00C03E02"/>
    <w:rsid w:val="00C65246"/>
    <w:rsid w:val="00C65C55"/>
    <w:rsid w:val="00C74C4E"/>
    <w:rsid w:val="00CB22DE"/>
    <w:rsid w:val="00CC14C5"/>
    <w:rsid w:val="00CC7FA7"/>
    <w:rsid w:val="00CD286B"/>
    <w:rsid w:val="00CE7763"/>
    <w:rsid w:val="00CF7C18"/>
    <w:rsid w:val="00D0039B"/>
    <w:rsid w:val="00D1778D"/>
    <w:rsid w:val="00D26A17"/>
    <w:rsid w:val="00D375C8"/>
    <w:rsid w:val="00D61925"/>
    <w:rsid w:val="00D77F1B"/>
    <w:rsid w:val="00D847A0"/>
    <w:rsid w:val="00DA031B"/>
    <w:rsid w:val="00DB2CC3"/>
    <w:rsid w:val="00DC16C8"/>
    <w:rsid w:val="00DD2EAB"/>
    <w:rsid w:val="00DE6240"/>
    <w:rsid w:val="00E333FF"/>
    <w:rsid w:val="00E449BD"/>
    <w:rsid w:val="00E51D24"/>
    <w:rsid w:val="00E54243"/>
    <w:rsid w:val="00EA2DE8"/>
    <w:rsid w:val="00EC0A22"/>
    <w:rsid w:val="00EE24EF"/>
    <w:rsid w:val="00EF2409"/>
    <w:rsid w:val="00F203F6"/>
    <w:rsid w:val="00F25822"/>
    <w:rsid w:val="00F26FF6"/>
    <w:rsid w:val="00F37C58"/>
    <w:rsid w:val="00F86410"/>
    <w:rsid w:val="00F90889"/>
    <w:rsid w:val="00FC4B1E"/>
    <w:rsid w:val="01610122"/>
    <w:rsid w:val="02510197"/>
    <w:rsid w:val="03EC461B"/>
    <w:rsid w:val="07397B77"/>
    <w:rsid w:val="0AD007F3"/>
    <w:rsid w:val="0E3C619F"/>
    <w:rsid w:val="11170296"/>
    <w:rsid w:val="13471461"/>
    <w:rsid w:val="13B90F01"/>
    <w:rsid w:val="155E4C4D"/>
    <w:rsid w:val="17462648"/>
    <w:rsid w:val="181066D2"/>
    <w:rsid w:val="1B9416B0"/>
    <w:rsid w:val="1C671E73"/>
    <w:rsid w:val="1D1125A5"/>
    <w:rsid w:val="1D322C47"/>
    <w:rsid w:val="23616034"/>
    <w:rsid w:val="24480FA2"/>
    <w:rsid w:val="25227A45"/>
    <w:rsid w:val="25753556"/>
    <w:rsid w:val="26AC3A6A"/>
    <w:rsid w:val="281178FD"/>
    <w:rsid w:val="2B9D7E25"/>
    <w:rsid w:val="2C7C7A3B"/>
    <w:rsid w:val="2EFC0D68"/>
    <w:rsid w:val="2F364819"/>
    <w:rsid w:val="2FD63906"/>
    <w:rsid w:val="37215DAE"/>
    <w:rsid w:val="38CA40DD"/>
    <w:rsid w:val="395F2B56"/>
    <w:rsid w:val="3BBA0580"/>
    <w:rsid w:val="3BECE841"/>
    <w:rsid w:val="3CDE204C"/>
    <w:rsid w:val="3D363C36"/>
    <w:rsid w:val="3E9C3F6D"/>
    <w:rsid w:val="3FF7797D"/>
    <w:rsid w:val="40E961DB"/>
    <w:rsid w:val="46690BD8"/>
    <w:rsid w:val="49F70BF1"/>
    <w:rsid w:val="4B4340EE"/>
    <w:rsid w:val="4BF06537"/>
    <w:rsid w:val="503D507A"/>
    <w:rsid w:val="51FA74D0"/>
    <w:rsid w:val="52AA4A52"/>
    <w:rsid w:val="59943D66"/>
    <w:rsid w:val="59E051FD"/>
    <w:rsid w:val="59E6355E"/>
    <w:rsid w:val="5B821531"/>
    <w:rsid w:val="5BFF6039"/>
    <w:rsid w:val="5C761E49"/>
    <w:rsid w:val="5D76A616"/>
    <w:rsid w:val="5D7F20B9"/>
    <w:rsid w:val="5DAC7D0E"/>
    <w:rsid w:val="5F98B5AF"/>
    <w:rsid w:val="5FFE8511"/>
    <w:rsid w:val="5FFEACE2"/>
    <w:rsid w:val="609D5BF6"/>
    <w:rsid w:val="61073070"/>
    <w:rsid w:val="61B9080E"/>
    <w:rsid w:val="61DF3FED"/>
    <w:rsid w:val="642B176B"/>
    <w:rsid w:val="643EE26D"/>
    <w:rsid w:val="656019A0"/>
    <w:rsid w:val="65F242EE"/>
    <w:rsid w:val="666D7E19"/>
    <w:rsid w:val="68376930"/>
    <w:rsid w:val="68F91E38"/>
    <w:rsid w:val="69767E03"/>
    <w:rsid w:val="6B3158B9"/>
    <w:rsid w:val="6BA02A3F"/>
    <w:rsid w:val="6C1E5A53"/>
    <w:rsid w:val="6DD20F3C"/>
    <w:rsid w:val="6F5C41AC"/>
    <w:rsid w:val="6FAF6C78"/>
    <w:rsid w:val="716167CC"/>
    <w:rsid w:val="718A7AD1"/>
    <w:rsid w:val="72A44BC2"/>
    <w:rsid w:val="7317C656"/>
    <w:rsid w:val="734ED73F"/>
    <w:rsid w:val="73C82B32"/>
    <w:rsid w:val="73F94DAE"/>
    <w:rsid w:val="74220495"/>
    <w:rsid w:val="747D1B6F"/>
    <w:rsid w:val="749E5641"/>
    <w:rsid w:val="76271066"/>
    <w:rsid w:val="77FD8BE9"/>
    <w:rsid w:val="78000AED"/>
    <w:rsid w:val="79A9BD3F"/>
    <w:rsid w:val="7B5225D3"/>
    <w:rsid w:val="7B776F12"/>
    <w:rsid w:val="7BF328A3"/>
    <w:rsid w:val="7BFFFDD0"/>
    <w:rsid w:val="7C336E5F"/>
    <w:rsid w:val="7C8D4919"/>
    <w:rsid w:val="7D7A5F86"/>
    <w:rsid w:val="7E4B683A"/>
    <w:rsid w:val="7E5E656D"/>
    <w:rsid w:val="7E8F2BCB"/>
    <w:rsid w:val="7F37BB4E"/>
    <w:rsid w:val="7FEF918E"/>
    <w:rsid w:val="7FF4FB6F"/>
    <w:rsid w:val="7FF7FF27"/>
    <w:rsid w:val="7FFDF714"/>
    <w:rsid w:val="AF3FCD8C"/>
    <w:rsid w:val="B79E706E"/>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jc w:val="left"/>
    </w:pPr>
    <w:rPr>
      <w:kern w:val="0"/>
      <w:sz w:val="24"/>
    </w:rPr>
  </w:style>
  <w:style w:type="paragraph" w:styleId="10">
    <w:name w:val="Title"/>
    <w:basedOn w:val="1"/>
    <w:next w:val="1"/>
    <w:link w:val="24"/>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3"/>
    <w:next w:val="3"/>
    <w:link w:val="23"/>
    <w:qFormat/>
    <w:uiPriority w:val="0"/>
    <w:rPr>
      <w:b/>
      <w:bCs/>
    </w:rPr>
  </w:style>
  <w:style w:type="paragraph" w:styleId="12">
    <w:name w:val="Body Text First Indent"/>
    <w:basedOn w:val="4"/>
    <w:qFormat/>
    <w:uiPriority w:val="0"/>
    <w:pPr>
      <w:spacing w:after="0"/>
      <w:ind w:firstLine="200" w:firstLineChars="200"/>
    </w:pPr>
  </w:style>
  <w:style w:type="paragraph" w:styleId="13">
    <w:name w:val="Body Text First Indent 2"/>
    <w:basedOn w:val="5"/>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Char"/>
    <w:basedOn w:val="15"/>
    <w:link w:val="6"/>
    <w:qFormat/>
    <w:uiPriority w:val="0"/>
    <w:rPr>
      <w:rFonts w:ascii="Times New Roman" w:hAnsi="Times New Roman" w:eastAsia="宋体" w:cs="Times New Roman"/>
      <w:kern w:val="2"/>
      <w:sz w:val="18"/>
      <w:szCs w:val="18"/>
    </w:rPr>
  </w:style>
  <w:style w:type="character" w:customStyle="1" w:styleId="21">
    <w:name w:val="页眉 Char"/>
    <w:basedOn w:val="15"/>
    <w:link w:val="8"/>
    <w:qFormat/>
    <w:uiPriority w:val="0"/>
    <w:rPr>
      <w:rFonts w:ascii="Times New Roman" w:hAnsi="Times New Roman" w:eastAsia="宋体" w:cs="Times New Roman"/>
      <w:kern w:val="2"/>
      <w:sz w:val="18"/>
      <w:szCs w:val="18"/>
    </w:rPr>
  </w:style>
  <w:style w:type="character" w:customStyle="1" w:styleId="22">
    <w:name w:val="批注文字 Char"/>
    <w:basedOn w:val="15"/>
    <w:link w:val="3"/>
    <w:qFormat/>
    <w:uiPriority w:val="0"/>
    <w:rPr>
      <w:rFonts w:ascii="Times New Roman" w:hAnsi="Times New Roman" w:eastAsia="宋体" w:cs="Times New Roman"/>
      <w:kern w:val="2"/>
      <w:sz w:val="21"/>
      <w:szCs w:val="24"/>
    </w:rPr>
  </w:style>
  <w:style w:type="character" w:customStyle="1" w:styleId="23">
    <w:name w:val="批注主题 Char"/>
    <w:basedOn w:val="22"/>
    <w:link w:val="11"/>
    <w:qFormat/>
    <w:uiPriority w:val="0"/>
    <w:rPr>
      <w:rFonts w:ascii="Times New Roman" w:hAnsi="Times New Roman" w:eastAsia="宋体" w:cs="Times New Roman"/>
      <w:b/>
      <w:bCs/>
      <w:kern w:val="2"/>
      <w:sz w:val="21"/>
      <w:szCs w:val="24"/>
    </w:rPr>
  </w:style>
  <w:style w:type="character" w:customStyle="1" w:styleId="24">
    <w:name w:val="标题 Char"/>
    <w:basedOn w:val="15"/>
    <w:link w:val="10"/>
    <w:qFormat/>
    <w:uiPriority w:val="10"/>
    <w:rPr>
      <w:rFonts w:asciiTheme="majorHAnsi" w:hAnsiTheme="majorHAnsi" w:eastAsiaTheme="majorEastAsia"/>
      <w:b/>
      <w:bCs/>
      <w:kern w:val="28"/>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30</Pages>
  <Words>15321</Words>
  <Characters>16022</Characters>
  <Lines>124</Lines>
  <Paragraphs>35</Paragraphs>
  <TotalTime>4912</TotalTime>
  <ScaleCrop>false</ScaleCrop>
  <LinksUpToDate>false</LinksUpToDate>
  <CharactersWithSpaces>16719</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2023-03-09T13:13:00Z</dcterms:created>
  <dc:creator>审核人</dc:creator>
  <cp:lastModifiedBy>wlt</cp:lastModifiedBy>
  <cp:lastPrinted>2025-03-19T05:32:00Z</cp:lastPrinted>
  <dcterms:modified xsi:type="dcterms:W3CDTF">2025-09-04T11:25:18Z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F91499A3D52548CEA20B10D7670440E7_13</vt:lpwstr>
  </property>
  <property fmtid="{D5CDD505-2E9C-101B-9397-08002B2CF9AE}" pid="4" name="KSOTemplateDocerSaveRecord">
    <vt:lpwstr>eyJoZGlkIjoiY2UxYTY5Njg0NWU1NDU5MmE3NzhjZDNiMDAyZDZjNWUiLCJ1c2VySWQiOiIxMTEwNzY4OCJ9</vt:lpwstr>
  </property>
</Properties>
</file>